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1C46" w14:textId="77777777" w:rsidR="00ED240C" w:rsidRPr="009210FB" w:rsidRDefault="00ED240C" w:rsidP="009210FB">
      <w:pPr>
        <w:pStyle w:val="Estilopadro"/>
        <w:spacing w:after="0" w:line="360" w:lineRule="auto"/>
        <w:jc w:val="center"/>
        <w:rPr>
          <w:rFonts w:ascii="Arial" w:hAnsi="Arial" w:cs="Arial"/>
          <w:b/>
          <w:iCs/>
          <w:color w:val="000000" w:themeColor="text1"/>
          <w:sz w:val="24"/>
          <w:szCs w:val="24"/>
        </w:rPr>
      </w:pPr>
      <w:permStart w:id="372125642" w:edGrp="everyone"/>
    </w:p>
    <w:p w14:paraId="1D0AA9EF" w14:textId="77777777" w:rsidR="00ED240C" w:rsidRPr="009210FB" w:rsidRDefault="00ED240C" w:rsidP="009210FB">
      <w:pPr>
        <w:pStyle w:val="Estilopadro"/>
        <w:spacing w:after="0" w:line="360" w:lineRule="auto"/>
        <w:jc w:val="center"/>
        <w:rPr>
          <w:rFonts w:ascii="Arial" w:hAnsi="Arial" w:cs="Arial"/>
          <w:b/>
          <w:iCs/>
          <w:color w:val="000000" w:themeColor="text1"/>
          <w:sz w:val="24"/>
          <w:szCs w:val="24"/>
        </w:rPr>
      </w:pPr>
      <w:r w:rsidRPr="009210FB">
        <w:rPr>
          <w:rFonts w:ascii="Arial" w:hAnsi="Arial" w:cs="Arial"/>
          <w:b/>
          <w:iCs/>
          <w:color w:val="000000" w:themeColor="text1"/>
          <w:sz w:val="24"/>
          <w:szCs w:val="24"/>
        </w:rPr>
        <w:t xml:space="preserve">ATA DA </w:t>
      </w:r>
      <w:r w:rsidR="00486BE3" w:rsidRPr="009210FB">
        <w:rPr>
          <w:rFonts w:ascii="Arial" w:hAnsi="Arial" w:cs="Arial"/>
          <w:b/>
          <w:iCs/>
          <w:color w:val="000000" w:themeColor="text1"/>
          <w:sz w:val="24"/>
          <w:szCs w:val="24"/>
        </w:rPr>
        <w:t>7</w:t>
      </w:r>
      <w:r w:rsidRPr="009210FB">
        <w:rPr>
          <w:rFonts w:ascii="Arial" w:hAnsi="Arial" w:cs="Arial"/>
          <w:b/>
          <w:iCs/>
          <w:color w:val="000000" w:themeColor="text1"/>
          <w:sz w:val="24"/>
          <w:szCs w:val="24"/>
        </w:rPr>
        <w:t>ª (</w:t>
      </w:r>
      <w:r w:rsidR="001B4919" w:rsidRPr="009210FB">
        <w:rPr>
          <w:rFonts w:ascii="Arial" w:hAnsi="Arial" w:cs="Arial"/>
          <w:b/>
          <w:iCs/>
          <w:color w:val="000000" w:themeColor="text1"/>
          <w:sz w:val="24"/>
          <w:szCs w:val="24"/>
        </w:rPr>
        <w:t>S</w:t>
      </w:r>
      <w:r w:rsidR="00486BE3" w:rsidRPr="009210FB">
        <w:rPr>
          <w:rFonts w:ascii="Arial" w:hAnsi="Arial" w:cs="Arial"/>
          <w:b/>
          <w:iCs/>
          <w:color w:val="000000" w:themeColor="text1"/>
          <w:sz w:val="24"/>
          <w:szCs w:val="24"/>
        </w:rPr>
        <w:t>ÉTIMA</w:t>
      </w:r>
      <w:r w:rsidRPr="009210FB">
        <w:rPr>
          <w:rFonts w:ascii="Arial" w:hAnsi="Arial" w:cs="Arial"/>
          <w:b/>
          <w:iCs/>
          <w:color w:val="000000" w:themeColor="text1"/>
          <w:sz w:val="24"/>
          <w:szCs w:val="24"/>
        </w:rPr>
        <w:t>) REUNIÃO ORDINÁRIA DE 2021 DO COMITÊ DE INVESTIMENTOS DA GUARUJÁ PREVIDÊNCIA</w:t>
      </w:r>
    </w:p>
    <w:p w14:paraId="756ADE80" w14:textId="77777777" w:rsidR="00ED240C" w:rsidRPr="009210FB" w:rsidRDefault="00ED240C" w:rsidP="009210FB">
      <w:pPr>
        <w:pStyle w:val="Estilopadro"/>
        <w:spacing w:after="0" w:line="360" w:lineRule="auto"/>
        <w:jc w:val="both"/>
        <w:rPr>
          <w:rFonts w:ascii="Arial" w:hAnsi="Arial" w:cs="Arial"/>
          <w:bCs/>
          <w:color w:val="000000" w:themeColor="text1"/>
          <w:sz w:val="24"/>
          <w:szCs w:val="24"/>
        </w:rPr>
      </w:pPr>
    </w:p>
    <w:p w14:paraId="1FE6C678" w14:textId="0BDFB2CE" w:rsidR="00ED240C" w:rsidRPr="006E476E" w:rsidRDefault="00ED240C" w:rsidP="005D2572">
      <w:pPr>
        <w:jc w:val="both"/>
        <w:rPr>
          <w:rFonts w:ascii="Arial" w:hAnsi="Arial" w:cs="Arial"/>
          <w:sz w:val="24"/>
          <w:szCs w:val="24"/>
        </w:rPr>
      </w:pPr>
      <w:r w:rsidRPr="009210FB">
        <w:rPr>
          <w:rFonts w:ascii="Arial" w:hAnsi="Arial" w:cs="Arial"/>
          <w:bCs/>
          <w:color w:val="000000" w:themeColor="text1"/>
          <w:sz w:val="24"/>
          <w:szCs w:val="24"/>
        </w:rPr>
        <w:t>Ao 1</w:t>
      </w:r>
      <w:r w:rsidR="00486BE3" w:rsidRPr="009210FB">
        <w:rPr>
          <w:rFonts w:ascii="Arial" w:hAnsi="Arial" w:cs="Arial"/>
          <w:bCs/>
          <w:color w:val="000000" w:themeColor="text1"/>
          <w:sz w:val="24"/>
          <w:szCs w:val="24"/>
        </w:rPr>
        <w:t>4</w:t>
      </w:r>
      <w:r w:rsidRPr="009210FB">
        <w:rPr>
          <w:rFonts w:ascii="Arial" w:hAnsi="Arial" w:cs="Arial"/>
          <w:bCs/>
          <w:color w:val="000000" w:themeColor="text1"/>
          <w:sz w:val="24"/>
          <w:szCs w:val="24"/>
        </w:rPr>
        <w:t xml:space="preserve">º dia do mês de </w:t>
      </w:r>
      <w:r w:rsidR="001B4919" w:rsidRPr="009210FB">
        <w:rPr>
          <w:rFonts w:ascii="Arial" w:hAnsi="Arial" w:cs="Arial"/>
          <w:bCs/>
          <w:color w:val="000000" w:themeColor="text1"/>
          <w:sz w:val="24"/>
          <w:szCs w:val="24"/>
        </w:rPr>
        <w:t>ju</w:t>
      </w:r>
      <w:r w:rsidR="00486BE3" w:rsidRPr="009210FB">
        <w:rPr>
          <w:rFonts w:ascii="Arial" w:hAnsi="Arial" w:cs="Arial"/>
          <w:bCs/>
          <w:color w:val="000000" w:themeColor="text1"/>
          <w:sz w:val="24"/>
          <w:szCs w:val="24"/>
        </w:rPr>
        <w:t>l</w:t>
      </w:r>
      <w:r w:rsidR="001B4919" w:rsidRPr="009210FB">
        <w:rPr>
          <w:rFonts w:ascii="Arial" w:hAnsi="Arial" w:cs="Arial"/>
          <w:bCs/>
          <w:color w:val="000000" w:themeColor="text1"/>
          <w:sz w:val="24"/>
          <w:szCs w:val="24"/>
        </w:rPr>
        <w:t>ho</w:t>
      </w:r>
      <w:r w:rsidRPr="009210FB">
        <w:rPr>
          <w:rFonts w:ascii="Arial" w:hAnsi="Arial" w:cs="Arial"/>
          <w:bCs/>
          <w:color w:val="000000" w:themeColor="text1"/>
          <w:sz w:val="24"/>
          <w:szCs w:val="24"/>
        </w:rPr>
        <w:t xml:space="preserve"> do ano de dois mil e vinte e um, reuniram-se ordinariamente nas dependências da sala de reuniões da sede da autarquia Guarujá Previdência, situada na Av. Adhemar de Barros, nº 230, 1º. Andar - sala 18, no bairro de Santo Antônio, nesta cidade de Guarujá, em primeira chamada as 9h (nove horas), e em segunda chamada as 9h30 (nove horas e trinta minutos), em atenção ao edital de convocação publicado no D. O. de </w:t>
      </w:r>
      <w:r w:rsidR="008909C5" w:rsidRPr="009210FB">
        <w:rPr>
          <w:rFonts w:ascii="Arial" w:hAnsi="Arial" w:cs="Arial"/>
          <w:bCs/>
          <w:color w:val="000000" w:themeColor="text1"/>
          <w:sz w:val="24"/>
          <w:szCs w:val="24"/>
        </w:rPr>
        <w:t>1</w:t>
      </w:r>
      <w:r w:rsidR="00C4543F" w:rsidRPr="009210FB">
        <w:rPr>
          <w:rFonts w:ascii="Arial" w:hAnsi="Arial" w:cs="Arial"/>
          <w:bCs/>
          <w:color w:val="000000" w:themeColor="text1"/>
          <w:sz w:val="24"/>
          <w:szCs w:val="24"/>
        </w:rPr>
        <w:t>3</w:t>
      </w:r>
      <w:r w:rsidR="008909C5" w:rsidRPr="009210FB">
        <w:rPr>
          <w:rFonts w:ascii="Arial" w:hAnsi="Arial" w:cs="Arial"/>
          <w:bCs/>
          <w:color w:val="000000" w:themeColor="text1"/>
          <w:sz w:val="24"/>
          <w:szCs w:val="24"/>
        </w:rPr>
        <w:t xml:space="preserve"> de ju</w:t>
      </w:r>
      <w:r w:rsidR="00FB0505" w:rsidRPr="009210FB">
        <w:rPr>
          <w:rFonts w:ascii="Arial" w:hAnsi="Arial" w:cs="Arial"/>
          <w:bCs/>
          <w:color w:val="000000" w:themeColor="text1"/>
          <w:sz w:val="24"/>
          <w:szCs w:val="24"/>
        </w:rPr>
        <w:t>l</w:t>
      </w:r>
      <w:r w:rsidR="008909C5" w:rsidRPr="009210FB">
        <w:rPr>
          <w:rFonts w:ascii="Arial" w:hAnsi="Arial" w:cs="Arial"/>
          <w:bCs/>
          <w:color w:val="000000" w:themeColor="text1"/>
          <w:sz w:val="24"/>
          <w:szCs w:val="24"/>
        </w:rPr>
        <w:t>ho</w:t>
      </w:r>
      <w:r w:rsidRPr="009210FB">
        <w:rPr>
          <w:rFonts w:ascii="Arial" w:hAnsi="Arial" w:cs="Arial"/>
          <w:bCs/>
          <w:color w:val="000000" w:themeColor="text1"/>
          <w:sz w:val="24"/>
          <w:szCs w:val="24"/>
        </w:rPr>
        <w:t xml:space="preserve"> de 2021, os membros do Comitê de Investimentos: Presidente do Comitê de Investimentos, Laydianne Alves da Silva Rosa Gonçalves</w:t>
      </w:r>
      <w:bookmarkStart w:id="0" w:name="_Hlk493508846"/>
      <w:r w:rsidRPr="009210FB">
        <w:rPr>
          <w:rFonts w:ascii="Arial" w:hAnsi="Arial" w:cs="Arial"/>
          <w:bCs/>
          <w:color w:val="000000" w:themeColor="text1"/>
          <w:sz w:val="24"/>
          <w:szCs w:val="24"/>
        </w:rPr>
        <w:t xml:space="preserve">. Membros: Fábio Enrique Camilo José Esteves, Aline Borges de Carvalho, Fernando Antônio Gonçalves de Melo. Gestora do Comitê </w:t>
      </w:r>
      <w:proofErr w:type="spellStart"/>
      <w:r w:rsidRPr="009210FB">
        <w:rPr>
          <w:rFonts w:ascii="Arial" w:hAnsi="Arial" w:cs="Arial"/>
          <w:bCs/>
          <w:color w:val="000000" w:themeColor="text1"/>
          <w:sz w:val="24"/>
          <w:szCs w:val="24"/>
        </w:rPr>
        <w:t>Lucielma</w:t>
      </w:r>
      <w:proofErr w:type="spellEnd"/>
      <w:r w:rsidRPr="009210FB">
        <w:rPr>
          <w:rFonts w:ascii="Arial" w:hAnsi="Arial" w:cs="Arial"/>
          <w:bCs/>
          <w:color w:val="000000" w:themeColor="text1"/>
          <w:sz w:val="24"/>
          <w:szCs w:val="24"/>
        </w:rPr>
        <w:t xml:space="preserve"> Ferreira Feitosa. </w:t>
      </w:r>
      <w:r w:rsidRPr="00DF14AF">
        <w:rPr>
          <w:rFonts w:ascii="Arial" w:hAnsi="Arial" w:cs="Arial"/>
          <w:b/>
          <w:color w:val="000000" w:themeColor="text1"/>
          <w:sz w:val="24"/>
          <w:szCs w:val="24"/>
        </w:rPr>
        <w:t>Faltas:</w:t>
      </w:r>
      <w:r w:rsidRPr="009210FB">
        <w:rPr>
          <w:rFonts w:ascii="Arial" w:hAnsi="Arial" w:cs="Arial"/>
          <w:bCs/>
          <w:color w:val="000000" w:themeColor="text1"/>
          <w:sz w:val="24"/>
          <w:szCs w:val="24"/>
        </w:rPr>
        <w:t xml:space="preserve"> não houve. </w:t>
      </w:r>
      <w:r w:rsidRPr="00DF14AF">
        <w:rPr>
          <w:rFonts w:ascii="Arial" w:hAnsi="Arial" w:cs="Arial"/>
          <w:b/>
          <w:sz w:val="24"/>
          <w:szCs w:val="24"/>
        </w:rPr>
        <w:t>Convidados</w:t>
      </w:r>
      <w:r w:rsidR="00760A58" w:rsidRPr="00DF14AF">
        <w:rPr>
          <w:rFonts w:ascii="Arial" w:hAnsi="Arial" w:cs="Arial"/>
          <w:b/>
          <w:sz w:val="24"/>
          <w:szCs w:val="24"/>
        </w:rPr>
        <w:t>:</w:t>
      </w:r>
      <w:r w:rsidR="00760A58" w:rsidRPr="00644B6C">
        <w:rPr>
          <w:rFonts w:ascii="Arial" w:hAnsi="Arial" w:cs="Arial"/>
          <w:bCs/>
          <w:sz w:val="24"/>
          <w:szCs w:val="24"/>
        </w:rPr>
        <w:t xml:space="preserve"> </w:t>
      </w:r>
      <w:proofErr w:type="spellStart"/>
      <w:r w:rsidR="00760A58" w:rsidRPr="00644B6C">
        <w:rPr>
          <w:rFonts w:ascii="Arial" w:hAnsi="Arial" w:cs="Arial"/>
          <w:bCs/>
          <w:sz w:val="24"/>
          <w:szCs w:val="24"/>
        </w:rPr>
        <w:t>EdlerAntonio</w:t>
      </w:r>
      <w:proofErr w:type="spellEnd"/>
      <w:r w:rsidR="00760A58" w:rsidRPr="00644B6C">
        <w:rPr>
          <w:rFonts w:ascii="Arial" w:hAnsi="Arial" w:cs="Arial"/>
          <w:bCs/>
          <w:sz w:val="24"/>
          <w:szCs w:val="24"/>
        </w:rPr>
        <w:t xml:space="preserve"> da Silva – Diretor Presidente e</w:t>
      </w:r>
      <w:bookmarkEnd w:id="0"/>
      <w:r w:rsidRPr="00644B6C">
        <w:rPr>
          <w:rFonts w:ascii="Arial" w:hAnsi="Arial" w:cs="Arial"/>
          <w:bCs/>
          <w:sz w:val="24"/>
          <w:szCs w:val="24"/>
        </w:rPr>
        <w:t xml:space="preserve"> Victória Souza de Brito – estagiária. </w:t>
      </w:r>
      <w:r w:rsidR="00A868F8">
        <w:rPr>
          <w:rFonts w:ascii="Arial" w:hAnsi="Arial" w:cs="Arial"/>
          <w:bCs/>
          <w:sz w:val="24"/>
          <w:szCs w:val="24"/>
        </w:rPr>
        <w:t xml:space="preserve">Alexandre Santos </w:t>
      </w:r>
      <w:r w:rsidR="00BD0541">
        <w:rPr>
          <w:rFonts w:ascii="Arial" w:hAnsi="Arial" w:cs="Arial"/>
          <w:bCs/>
          <w:sz w:val="24"/>
          <w:szCs w:val="24"/>
        </w:rPr>
        <w:t xml:space="preserve">de </w:t>
      </w:r>
      <w:r w:rsidR="00A868F8">
        <w:rPr>
          <w:rFonts w:ascii="Arial" w:hAnsi="Arial" w:cs="Arial"/>
          <w:bCs/>
          <w:sz w:val="24"/>
          <w:szCs w:val="24"/>
        </w:rPr>
        <w:t xml:space="preserve">Brito – Conselheiro de Administração – de forma on-line. </w:t>
      </w:r>
      <w:r w:rsidRPr="00DF14AF">
        <w:rPr>
          <w:rFonts w:ascii="Arial" w:hAnsi="Arial" w:cs="Arial"/>
          <w:b/>
          <w:sz w:val="24"/>
          <w:szCs w:val="24"/>
        </w:rPr>
        <w:t xml:space="preserve">Documentos recebidos/encaminhados: </w:t>
      </w:r>
      <w:r w:rsidRPr="009210FB">
        <w:rPr>
          <w:rFonts w:ascii="Arial" w:hAnsi="Arial" w:cs="Arial"/>
          <w:bCs/>
          <w:sz w:val="24"/>
          <w:szCs w:val="24"/>
        </w:rPr>
        <w:t xml:space="preserve"> </w:t>
      </w:r>
      <w:r w:rsidR="008909C5" w:rsidRPr="009210FB">
        <w:rPr>
          <w:rFonts w:ascii="Arial" w:hAnsi="Arial" w:cs="Arial"/>
          <w:bCs/>
          <w:sz w:val="24"/>
          <w:szCs w:val="24"/>
        </w:rPr>
        <w:t>Memorando n</w:t>
      </w:r>
      <w:r w:rsidR="001D6EA0" w:rsidRPr="009210FB">
        <w:rPr>
          <w:rFonts w:ascii="Arial" w:hAnsi="Arial" w:cs="Arial"/>
          <w:bCs/>
          <w:sz w:val="24"/>
          <w:szCs w:val="24"/>
        </w:rPr>
        <w:t>° 01</w:t>
      </w:r>
      <w:r w:rsidR="00CC0173" w:rsidRPr="009210FB">
        <w:rPr>
          <w:rFonts w:ascii="Arial" w:hAnsi="Arial" w:cs="Arial"/>
          <w:bCs/>
          <w:sz w:val="24"/>
          <w:szCs w:val="24"/>
        </w:rPr>
        <w:t>7</w:t>
      </w:r>
      <w:r w:rsidR="001D6EA0" w:rsidRPr="009210FB">
        <w:rPr>
          <w:rFonts w:ascii="Arial" w:hAnsi="Arial" w:cs="Arial"/>
          <w:bCs/>
          <w:sz w:val="24"/>
          <w:szCs w:val="24"/>
        </w:rPr>
        <w:t>/2021 – Ger. Fin</w:t>
      </w:r>
      <w:r w:rsidRPr="009210FB">
        <w:rPr>
          <w:rFonts w:ascii="Arial" w:hAnsi="Arial" w:cs="Arial"/>
          <w:bCs/>
          <w:sz w:val="24"/>
          <w:szCs w:val="24"/>
        </w:rPr>
        <w:t xml:space="preserve">. </w:t>
      </w:r>
      <w:r w:rsidRPr="009210FB">
        <w:rPr>
          <w:rFonts w:ascii="Arial" w:hAnsi="Arial" w:cs="Arial"/>
          <w:bCs/>
          <w:color w:val="000000" w:themeColor="text1"/>
          <w:sz w:val="24"/>
          <w:szCs w:val="24"/>
        </w:rPr>
        <w:t xml:space="preserve">Ordem do dia: Dando início aos trabalhos, a Sra. Laydianne Alves da Silva Rosa Gonçalves, observou quórum presencial e procedeu à leitura da pauta, a ordem do dia para operacionalização das atividades, que passou a ser objeto de análise pelos presentes: </w:t>
      </w:r>
      <w:bookmarkStart w:id="1" w:name="_Hlk36385867"/>
      <w:r w:rsidRPr="00DF14AF">
        <w:rPr>
          <w:rFonts w:ascii="Arial" w:hAnsi="Arial" w:cs="Arial"/>
          <w:b/>
          <w:color w:val="000000" w:themeColor="text1"/>
          <w:sz w:val="24"/>
          <w:szCs w:val="24"/>
        </w:rPr>
        <w:t>1)</w:t>
      </w:r>
      <w:bookmarkEnd w:id="1"/>
      <w:r w:rsidRPr="00DF14AF">
        <w:rPr>
          <w:rFonts w:ascii="Arial" w:hAnsi="Arial" w:cs="Arial"/>
          <w:b/>
          <w:color w:val="000000" w:themeColor="text1"/>
          <w:sz w:val="24"/>
          <w:szCs w:val="24"/>
        </w:rPr>
        <w:t xml:space="preserve"> Análise do cenário macroeconômico; 2) Avaliação dos investimentos; 3) Análise do fluxo de caixa; 4) Proposições de investimentos/desinvestimentos; 5) Credenciamentos; 6) </w:t>
      </w:r>
      <w:r w:rsidR="004D1D01" w:rsidRPr="00DF14AF">
        <w:rPr>
          <w:rFonts w:ascii="Arial" w:hAnsi="Arial" w:cs="Arial"/>
          <w:b/>
          <w:color w:val="000000" w:themeColor="text1"/>
          <w:sz w:val="24"/>
          <w:szCs w:val="24"/>
        </w:rPr>
        <w:t xml:space="preserve">Análise de Fato Relevante no dia 08/07/2021 do Fundo FIP </w:t>
      </w:r>
      <w:proofErr w:type="spellStart"/>
      <w:r w:rsidR="004D1D01" w:rsidRPr="00DF14AF">
        <w:rPr>
          <w:rFonts w:ascii="Arial" w:hAnsi="Arial" w:cs="Arial"/>
          <w:b/>
          <w:color w:val="000000" w:themeColor="text1"/>
          <w:sz w:val="24"/>
          <w:szCs w:val="24"/>
        </w:rPr>
        <w:t>Multiestratégia</w:t>
      </w:r>
      <w:proofErr w:type="spellEnd"/>
      <w:r w:rsidR="004D1D01" w:rsidRPr="00DF14AF">
        <w:rPr>
          <w:rFonts w:ascii="Arial" w:hAnsi="Arial" w:cs="Arial"/>
          <w:b/>
          <w:color w:val="000000" w:themeColor="text1"/>
          <w:sz w:val="24"/>
          <w:szCs w:val="24"/>
        </w:rPr>
        <w:t xml:space="preserve"> LA Shopping</w:t>
      </w:r>
      <w:r w:rsidR="002E7C96" w:rsidRPr="00DF14AF">
        <w:rPr>
          <w:rFonts w:ascii="Arial" w:hAnsi="Arial" w:cs="Arial"/>
          <w:b/>
          <w:color w:val="000000" w:themeColor="text1"/>
          <w:sz w:val="24"/>
          <w:szCs w:val="24"/>
        </w:rPr>
        <w:t xml:space="preserve"> Centers. 7) Assuntos Gerais</w:t>
      </w:r>
      <w:r w:rsidRPr="00DF14AF">
        <w:rPr>
          <w:rFonts w:ascii="Arial" w:hAnsi="Arial" w:cs="Arial"/>
          <w:b/>
          <w:color w:val="000000" w:themeColor="text1"/>
          <w:sz w:val="24"/>
          <w:szCs w:val="24"/>
        </w:rPr>
        <w:t>. Deliberações: 1) Análise do cenário macroeconômico:</w:t>
      </w:r>
      <w:r w:rsidRPr="009210FB">
        <w:rPr>
          <w:rFonts w:ascii="Arial" w:hAnsi="Arial" w:cs="Arial"/>
          <w:bCs/>
          <w:color w:val="000000" w:themeColor="text1"/>
          <w:sz w:val="24"/>
          <w:szCs w:val="24"/>
        </w:rPr>
        <w:t xml:space="preserve"> “</w:t>
      </w:r>
      <w:r w:rsidR="00EE193F" w:rsidRPr="009210FB">
        <w:rPr>
          <w:rFonts w:ascii="Arial" w:hAnsi="Arial" w:cs="Arial"/>
          <w:bCs/>
          <w:sz w:val="24"/>
          <w:szCs w:val="24"/>
        </w:rPr>
        <w:t xml:space="preserve">Pelo mundo afora, e em linhas gerais, continuamos observando a continuidade no avanço dos programas de vacinação contra o Covid-19, do aquecimento da atividade econômica e da atenção com a dinâmica inflacionária. No tocante ao combate à pandemia, ainda que haja muita cautela e trabalho pela frente, e considerando ainda diversos estágios entre as diferentes economias, continuamos observando gradativos avanços, em especial nas economias centrais, mas, não limitadas a elas, com o avanço da combinação de programas bem sucedidos de vacinação, aliado aos efeitos positivos de políticas sanitárias e de restrição da mobilidade urbana, em alguns países já um tanto relaxadas, continuando a contribuir para a redução, consistente e gradativa, do número de contágio e de óbitos pelo Covid-19 ao longo do globo. Sobre alguns sinais que reforçam a necessidade de muita cautela e trabalho, segundo a agência de notícias Reuters, que também apresenta estatísticas da dinâmica do número de contágios e de mortes por Covid-19 pelo mundo, em diversos países vem ocorrendo um aumento do número de contágio, a exemplo da Indonésia (34.731), do Reino Unido (30.497) e da Rússia (24.627), respectivamente, terceira, quarta e quinta maiores ocorrências no mundo, conforme dado apresentados em 09.07.2021. De qualquer forma, os mercados vem observando, com bons olhos, estudos científicos de que as vacinas vem se mostrando eficazes contra novas cepas do vírus, o avanço de programas de vacinação em diversos países, e, vislumbrando também a possibilidade de </w:t>
      </w:r>
      <w:r w:rsidR="00EE193F" w:rsidRPr="009210FB">
        <w:rPr>
          <w:rFonts w:ascii="Arial" w:hAnsi="Arial" w:cs="Arial"/>
          <w:bCs/>
          <w:sz w:val="24"/>
          <w:szCs w:val="24"/>
        </w:rPr>
        <w:lastRenderedPageBreak/>
        <w:t xml:space="preserve">volta “quase que à normalidade” em alguns países centrais, com reflexos positivos nas economias. Apenas a título de nota, e segundo a mesma agência de notícias, Brasil e Índia vem apresentado queda consistente e gradativa do número de contágio e de mortes por Covid-19. Ambos os países são, pela ordem, os dois países com o maior número de casos no globo, seguidos pela Indonésia. Em relação ao seu pico e declinando, o número de contágio na Índia representava 51%, e, o número de mortes representava 11% de seu pico. Já no Brasil, o número de contágio representava 63% de seu pico e segue caindo. Essa estatística para o número de mortes não foi identificada no relatório da Reuters, mas, segundo a Fundação Oswaldo Crus (Fiocruz), ainda que em níveis altos, a média de mortes por Covid-19 está em queda desde de 19.06.2021, onde foram contabilizadas 2.075 mortes, caindo para 1.440 casos em 08.07.2021. O pico ocorreu em 12.04.2021 , com 3.123 </w:t>
      </w:r>
      <w:proofErr w:type="spellStart"/>
      <w:r w:rsidR="00EE193F" w:rsidRPr="009210FB">
        <w:rPr>
          <w:rFonts w:ascii="Arial" w:hAnsi="Arial" w:cs="Arial"/>
          <w:bCs/>
          <w:sz w:val="24"/>
          <w:szCs w:val="24"/>
        </w:rPr>
        <w:t>mortes.</w:t>
      </w:r>
      <w:r w:rsidR="00DE6E69" w:rsidRPr="009210FB">
        <w:rPr>
          <w:rFonts w:ascii="Arial" w:hAnsi="Arial" w:cs="Arial"/>
          <w:bCs/>
          <w:sz w:val="24"/>
          <w:szCs w:val="24"/>
        </w:rPr>
        <w:t>Mercados</w:t>
      </w:r>
      <w:proofErr w:type="spellEnd"/>
      <w:r w:rsidR="00DE6E69" w:rsidRPr="009210FB">
        <w:rPr>
          <w:rFonts w:ascii="Arial" w:hAnsi="Arial" w:cs="Arial"/>
          <w:bCs/>
          <w:sz w:val="24"/>
          <w:szCs w:val="24"/>
        </w:rPr>
        <w:t xml:space="preserve"> Internacionais Em junho, a tônica dos mercados ficou por conta de discussões entre os membros do </w:t>
      </w:r>
      <w:proofErr w:type="spellStart"/>
      <w:r w:rsidR="00DE6E69" w:rsidRPr="009210FB">
        <w:rPr>
          <w:rFonts w:ascii="Arial" w:hAnsi="Arial" w:cs="Arial"/>
          <w:bCs/>
          <w:sz w:val="24"/>
          <w:szCs w:val="24"/>
        </w:rPr>
        <w:t>Fed</w:t>
      </w:r>
      <w:proofErr w:type="spellEnd"/>
      <w:r w:rsidR="00DE6E69" w:rsidRPr="009210FB">
        <w:rPr>
          <w:rFonts w:ascii="Arial" w:hAnsi="Arial" w:cs="Arial"/>
          <w:bCs/>
          <w:sz w:val="24"/>
          <w:szCs w:val="24"/>
        </w:rPr>
        <w:t xml:space="preserve"> acerca de uma possível redução futura dos estímulos fiscais e monetários, antes do previsto pela autoridade americana. O mercado americano continua produzindo sinais que são contraditórios entre si, a exemplo de dados de inflação mais fortes, vis a vis, dados do mercado de trabalho mais fracos do que os esperado. De qualquer forma, a atenção sobre a inflação ficou mais evidente por parte do Fed. Apenas apresentando alguns números divulgados pelo departamento de trabalho americano, na semana finalizada em 12 de junho, os novos pedidos de seguro-desemprego nos EUA ficaram em 412 mil, com aumento de 37 mil em relação </w:t>
      </w:r>
      <w:proofErr w:type="spellStart"/>
      <w:r w:rsidR="00DE6E69" w:rsidRPr="009210FB">
        <w:rPr>
          <w:rFonts w:ascii="Arial" w:hAnsi="Arial" w:cs="Arial"/>
          <w:bCs/>
          <w:sz w:val="24"/>
          <w:szCs w:val="24"/>
        </w:rPr>
        <w:t>a</w:t>
      </w:r>
      <w:proofErr w:type="spellEnd"/>
      <w:r w:rsidR="00DE6E69" w:rsidRPr="009210FB">
        <w:rPr>
          <w:rFonts w:ascii="Arial" w:hAnsi="Arial" w:cs="Arial"/>
          <w:bCs/>
          <w:sz w:val="24"/>
          <w:szCs w:val="24"/>
        </w:rPr>
        <w:t xml:space="preserve"> semana anterior. O resultado veio acima do previsto, que era de 360 mil solicitações no período, estimulando a continuidade de cautela. A leitura dos mercados é de que, ainda que o </w:t>
      </w:r>
      <w:proofErr w:type="spellStart"/>
      <w:r w:rsidR="00DE6E69" w:rsidRPr="009210FB">
        <w:rPr>
          <w:rFonts w:ascii="Arial" w:hAnsi="Arial" w:cs="Arial"/>
          <w:bCs/>
          <w:sz w:val="24"/>
          <w:szCs w:val="24"/>
        </w:rPr>
        <w:t>Fed</w:t>
      </w:r>
      <w:proofErr w:type="spellEnd"/>
      <w:r w:rsidR="00DE6E69" w:rsidRPr="009210FB">
        <w:rPr>
          <w:rFonts w:ascii="Arial" w:hAnsi="Arial" w:cs="Arial"/>
          <w:bCs/>
          <w:sz w:val="24"/>
          <w:szCs w:val="24"/>
        </w:rPr>
        <w:t xml:space="preserve"> permaneça com o compromisso de fomentar a atividade econômica, que o avanço da inflação já está sendo discutido de forma mais relevante, mas, sem que haja medidas concretas para o curto prazo. Segundo comunicado do </w:t>
      </w:r>
      <w:proofErr w:type="spellStart"/>
      <w:r w:rsidR="00DE6E69" w:rsidRPr="009210FB">
        <w:rPr>
          <w:rFonts w:ascii="Arial" w:hAnsi="Arial" w:cs="Arial"/>
          <w:bCs/>
          <w:sz w:val="24"/>
          <w:szCs w:val="24"/>
        </w:rPr>
        <w:t>Fed</w:t>
      </w:r>
      <w:proofErr w:type="spellEnd"/>
      <w:r w:rsidR="00DE6E69" w:rsidRPr="009210FB">
        <w:rPr>
          <w:rFonts w:ascii="Arial" w:hAnsi="Arial" w:cs="Arial"/>
          <w:bCs/>
          <w:sz w:val="24"/>
          <w:szCs w:val="24"/>
        </w:rPr>
        <w:t>, em 18.06.2021, estão previstos dois aumentos de juros para acontecer em 2023. Da Europa vêm as notícias de que as vendas no varejo do Reino Unido caíram 1,4% em maio, abaixo da projeção de 1,6% e de alta de 9,2% em abril. Já o Índice de Preços do Produtor da Alemanha subiu 1,5% em maio, mais do que o dobro previsto de 0,7%. Sobre China, os preços das principais commodities recuaram com a decisão do governo Chinês de liberar estoques para deter a alta das matérias-primas. Dessa forma, durante o mês de junho o ambiente externo apresentou uma certa volatilidade, especialmente com a última reunião do Comitê de Política Monetária dos EUA (FOMC), onde se admitiu que a retirada de estímulos terá que ser discutida em algum momento próximo. Após certa acomodação, os mercados se estabilizaram rapidamente e continuaram a apresentar uma performance positiva, favorável para ativos de risco e mercados emergentes. Assim, apenas citando o bom desempenho de alguns importantes índices internacionais, ambos em moeda local, o S&amp;P 500 se valorizou em 2,22% e o MSCI ACWI em 1,20%, com o Dólar novamente se desvalorizando frente ao Real (-4,40%), em função do tom mais “</w:t>
      </w:r>
      <w:proofErr w:type="spellStart"/>
      <w:r w:rsidR="00DE6E69" w:rsidRPr="009210FB">
        <w:rPr>
          <w:rFonts w:ascii="Arial" w:hAnsi="Arial" w:cs="Arial"/>
          <w:bCs/>
          <w:sz w:val="24"/>
          <w:szCs w:val="24"/>
        </w:rPr>
        <w:t>hawkish</w:t>
      </w:r>
      <w:proofErr w:type="spellEnd"/>
      <w:r w:rsidR="00DE6E69" w:rsidRPr="009210FB">
        <w:rPr>
          <w:rFonts w:ascii="Arial" w:hAnsi="Arial" w:cs="Arial"/>
          <w:bCs/>
          <w:sz w:val="24"/>
          <w:szCs w:val="24"/>
        </w:rPr>
        <w:t xml:space="preserve">” do banco central brasileiro (BCB), e diversas outras moedas. No mercado local, a expressiva queda do dólar explica boa parte da queda do MSCI World (-3,25%) e do S&amp;P 500 (-2,27%), nesse caso, ambos sem proteção cambial. Por conta do nível de discussões e de </w:t>
      </w:r>
      <w:proofErr w:type="spellStart"/>
      <w:r w:rsidR="00DE6E69" w:rsidRPr="009210FB">
        <w:rPr>
          <w:rFonts w:ascii="Arial" w:hAnsi="Arial" w:cs="Arial"/>
          <w:bCs/>
          <w:sz w:val="24"/>
          <w:szCs w:val="24"/>
        </w:rPr>
        <w:t>difentes</w:t>
      </w:r>
      <w:proofErr w:type="spellEnd"/>
      <w:r w:rsidR="00DE6E69" w:rsidRPr="009210FB">
        <w:rPr>
          <w:rFonts w:ascii="Arial" w:hAnsi="Arial" w:cs="Arial"/>
          <w:bCs/>
          <w:sz w:val="24"/>
          <w:szCs w:val="24"/>
        </w:rPr>
        <w:t xml:space="preserve"> dinâmicas de recuperação, o mercado internacional continua apresentando um cenário relativamente mais previsível e menos desafiador que o mercado local, em especial o </w:t>
      </w:r>
      <w:proofErr w:type="spellStart"/>
      <w:r w:rsidR="00DE6E69" w:rsidRPr="009210FB">
        <w:rPr>
          <w:rFonts w:ascii="Arial" w:hAnsi="Arial" w:cs="Arial"/>
          <w:bCs/>
          <w:sz w:val="24"/>
          <w:szCs w:val="24"/>
        </w:rPr>
        <w:t>americano.Brasil</w:t>
      </w:r>
      <w:proofErr w:type="spellEnd"/>
      <w:r w:rsidR="00DE6E69" w:rsidRPr="009210FB">
        <w:rPr>
          <w:rFonts w:ascii="Arial" w:hAnsi="Arial" w:cs="Arial"/>
          <w:bCs/>
          <w:sz w:val="24"/>
          <w:szCs w:val="24"/>
        </w:rPr>
        <w:t xml:space="preserve"> Conforme comentado anteriormente e sobre a pandemia, os números de contágio (45.733) e de mortes (1.296), ambos em 09.07.2021, ainda se encontram em patamares muito altos, mas, vem apresentando consistente queda. Em linhas gerais, os programas de vacinação vem sendo cumpridos e, em alguns estados, com antecipação do cronograma, a exemplo do estado de São Paulo, que prevê aplicar a 1ª dose das vacinas em todos os adultos até 20 de agosto e começar a imunizar pessoas entre 12 e 17 anos a partir de 23 de agosto. Por sua vez, o governo de Amazonas informou que não houve a ocorrência de morte por Covid19 no estado, em 06.07.2021. Ainda que seja razoável a ocorrência de novas mortes desde então, essa foi a primeira vez que isso ocorreu em 16 meses de pandemia. Os trabalhos continuam e tem trazido bons resultados. Em termos econômicos, o BCB endureceu o discurso, sinalizando aumento maior da taxa Selic. Com isso, os juros da parte curta da curva subiram enquanto os da parte longa recuaram. A inflação implícita nas </w:t>
      </w:r>
      <w:proofErr w:type="spellStart"/>
      <w:r w:rsidR="00DE6E69" w:rsidRPr="009210FB">
        <w:rPr>
          <w:rFonts w:ascii="Arial" w:hAnsi="Arial" w:cs="Arial"/>
          <w:bCs/>
          <w:sz w:val="24"/>
          <w:szCs w:val="24"/>
        </w:rPr>
        <w:t>NTNs</w:t>
      </w:r>
      <w:proofErr w:type="spellEnd"/>
      <w:r w:rsidR="00DE6E69" w:rsidRPr="009210FB">
        <w:rPr>
          <w:rFonts w:ascii="Arial" w:hAnsi="Arial" w:cs="Arial"/>
          <w:bCs/>
          <w:sz w:val="24"/>
          <w:szCs w:val="24"/>
        </w:rPr>
        <w:t xml:space="preserve">-B também recuou, conforme podemos observar no tópico 3, Curvas de Juros e Inflação. Desse modo, alguns indicadores de renda fixa apresentaram valorização em junho, tais como o </w:t>
      </w:r>
      <w:proofErr w:type="spellStart"/>
      <w:r w:rsidR="00DE6E69" w:rsidRPr="009210FB">
        <w:rPr>
          <w:rFonts w:ascii="Arial" w:hAnsi="Arial" w:cs="Arial"/>
          <w:bCs/>
          <w:sz w:val="24"/>
          <w:szCs w:val="24"/>
        </w:rPr>
        <w:t>IDkA</w:t>
      </w:r>
      <w:proofErr w:type="spellEnd"/>
      <w:r w:rsidR="00DE6E69" w:rsidRPr="009210FB">
        <w:rPr>
          <w:rFonts w:ascii="Arial" w:hAnsi="Arial" w:cs="Arial"/>
          <w:bCs/>
          <w:sz w:val="24"/>
          <w:szCs w:val="24"/>
        </w:rPr>
        <w:t xml:space="preserve"> IPCA 20A (+1,07%), o IMA-B 5+ (+0,83%), o IMA-B (+0,42%) e o IMA Geral (+0,35%), dentre outros, ficando na ponta negativa o </w:t>
      </w:r>
      <w:proofErr w:type="spellStart"/>
      <w:r w:rsidR="00DE6E69" w:rsidRPr="009210FB">
        <w:rPr>
          <w:rFonts w:ascii="Arial" w:hAnsi="Arial" w:cs="Arial"/>
          <w:bCs/>
          <w:sz w:val="24"/>
          <w:szCs w:val="24"/>
        </w:rPr>
        <w:t>IDkA</w:t>
      </w:r>
      <w:proofErr w:type="spellEnd"/>
      <w:r w:rsidR="00DE6E69" w:rsidRPr="009210FB">
        <w:rPr>
          <w:rFonts w:ascii="Arial" w:hAnsi="Arial" w:cs="Arial"/>
          <w:bCs/>
          <w:sz w:val="24"/>
          <w:szCs w:val="24"/>
        </w:rPr>
        <w:t xml:space="preserve"> IPCA 2A (- 0,32%) e o IMA-B 5 (- 0,13%). Já do lado da bolsa, que num primeiro momento foram positivamente influenciadas pela melhora nas expectativas fiscais e de crescimento do PIB, acabaram devolvendo parte dos ganhos devido ao tom mais “</w:t>
      </w:r>
      <w:proofErr w:type="spellStart"/>
      <w:r w:rsidR="00DE6E69" w:rsidRPr="009210FB">
        <w:rPr>
          <w:rFonts w:ascii="Arial" w:hAnsi="Arial" w:cs="Arial"/>
          <w:bCs/>
          <w:sz w:val="24"/>
          <w:szCs w:val="24"/>
        </w:rPr>
        <w:t>hawkish</w:t>
      </w:r>
      <w:proofErr w:type="spellEnd"/>
      <w:r w:rsidR="00DE6E69" w:rsidRPr="009210FB">
        <w:rPr>
          <w:rFonts w:ascii="Arial" w:hAnsi="Arial" w:cs="Arial"/>
          <w:bCs/>
          <w:sz w:val="24"/>
          <w:szCs w:val="24"/>
        </w:rPr>
        <w:t>“ do FED e do BCB. Assim, o SMLL se valorizou em 1,29%, seguido pelo ISE (+1,28%), IBRX-50 (+0,66%), IBRX (+0,63%) e o Ibovespa (+0,46%). Dúvidas sobre os possíveis impactos trazidos pelas propostas tributárias, apresentadas no pacote trazido pelo governo federal, também acabaram influenciando negativamente os mercados e fomentando discussões. Falando sobre a inflação medida em junho, o IPCA ficou em 0,53%, abaixo das expectativas de mercado (0,59%). A estimativa de curto prazo do Banco Central era de 0,62%, segundo o último Relatório de Inflação Trimestral (RI), divulgado no final de junho. Com isso, a inflação acumulada no ano foi de 3,77%, e o dos últimos 12 meses atingiu de 8,35%. Continua pesando sobre nós, Brasil, o alto nível de infecções e mortes por Covid-19, atenção fiscal, com preocupações de momento mitigadas pelo aumento da atividade econômica e inflação, contribuindo colateralmente para uma redução da relação dívida/PIB, dos constantes e crescentes ruídos políticos, em especial pelos desdobramentos trazidos pela CPI da Covid-19, e a necessidade de discussão e aprovação de importantes reformas, tais como a reforma tributária e a administrativa, dentre outras.</w:t>
      </w:r>
      <w:r w:rsidR="00120F25" w:rsidRPr="009210FB">
        <w:rPr>
          <w:rFonts w:ascii="Arial" w:hAnsi="Arial" w:cs="Arial"/>
          <w:bCs/>
          <w:sz w:val="24"/>
          <w:szCs w:val="24"/>
        </w:rPr>
        <w:t>2.2. DINÂMICA DAS EXPECTATIVAS DE MERCADO Como destaques e na mesma toada das últimas semanas, o último Boletim Focus continuou apresentando revisões para cima nas expectativas de mercado para inflação e PIB. Pressionada pela inflação, a expectativa para a Selic também subiu para o fina 2021. Inflação (IPCA): A Inflação projetada pelo último Boletim Focus para o final 2021 está em 6,11%, acima dos 5,82% esperados há quatro semanas. Ao todo, são quatorze semanas seguidas de revisão de alta. Para o final de 2022, e devido a postura mais enérgica do BCB, a expectativa de mercado apresentou nova queda, de 3,78% para 3,75%, em relação as últimas quatro semanas. SELIC: Para dezembro de 2021, o consenso de mercado novamente passou a considerar uma taxa Selic relativamente maior, de 6,25% para os atuais 6,63%, em relação às quatro últimas semanas. Para o final de 2022 também houve novamente ajuste para cima, de 6,50% para 7,00%. A alta na expectativa inflacionária vem pressionando para cima a expectativa para a Selic. PIB: Sobre o PIB ao final de 2021, com a décima segunda alta consecutiva, de 4,85% para 5,26% em relação às últimas quatro semanas. A exemplo das expectativas de inflação, o PIB para o final de 2022 também apresentou queda, de 2,20% para 2,09%, em relação as últimas quatro semanas. Câmbio (Dólar/ Real): Olhando para a expectativa de mercado, a cotação do dólar para o final de 2021 apresentou queda, de R$ 5,18 para R$ 5,05. Para 2022 a projeção foi mantida em R$ 5,20, em relação as últimas quatro semanas.</w:t>
      </w:r>
      <w:r w:rsidR="001B43D9">
        <w:rPr>
          <w:rFonts w:ascii="Arial" w:hAnsi="Arial" w:cs="Arial"/>
          <w:bCs/>
          <w:sz w:val="24"/>
          <w:szCs w:val="24"/>
        </w:rPr>
        <w:t xml:space="preserve"> </w:t>
      </w:r>
      <w:r w:rsidR="00120F25" w:rsidRPr="009210FB">
        <w:rPr>
          <w:rFonts w:ascii="Arial" w:hAnsi="Arial" w:cs="Arial"/>
          <w:bCs/>
          <w:sz w:val="24"/>
          <w:szCs w:val="24"/>
        </w:rPr>
        <w:t>Taxa de Juros Real: A curva de juros real calculada pela ANBIMA, projetada em 08.07.2021, estima uma taxa real de juros de 3,96% a.a. para 9 anos.</w:t>
      </w:r>
      <w:r w:rsidR="001B43D9">
        <w:rPr>
          <w:rFonts w:ascii="Arial" w:hAnsi="Arial" w:cs="Arial"/>
          <w:bCs/>
          <w:sz w:val="24"/>
          <w:szCs w:val="24"/>
        </w:rPr>
        <w:t xml:space="preserve"> </w:t>
      </w:r>
      <w:r w:rsidR="00120F25" w:rsidRPr="009210FB">
        <w:rPr>
          <w:rFonts w:ascii="Arial" w:hAnsi="Arial" w:cs="Arial"/>
          <w:bCs/>
          <w:sz w:val="24"/>
          <w:szCs w:val="24"/>
        </w:rPr>
        <w:t>Taxa de Inflação Implícita: A curva de inflação implícita calculada pela ANBIMA, projetada em 08.07.2021, estima uma taxa de inflação máxima de 5,31% a.a. para 9 anos.</w:t>
      </w:r>
      <w:r w:rsidR="00513407" w:rsidRPr="009210FB">
        <w:rPr>
          <w:rFonts w:ascii="Arial" w:hAnsi="Arial" w:cs="Arial"/>
          <w:bCs/>
          <w:sz w:val="24"/>
          <w:szCs w:val="24"/>
        </w:rPr>
        <w:t>”</w:t>
      </w:r>
      <w:r w:rsidRPr="009210FB">
        <w:rPr>
          <w:rFonts w:ascii="Arial" w:hAnsi="Arial" w:cs="Arial"/>
          <w:bCs/>
          <w:color w:val="000000" w:themeColor="text1"/>
          <w:sz w:val="24"/>
          <w:szCs w:val="24"/>
        </w:rPr>
        <w:t xml:space="preserve"> </w:t>
      </w:r>
      <w:r w:rsidRPr="00DF14AF">
        <w:rPr>
          <w:rFonts w:ascii="Arial" w:hAnsi="Arial" w:cs="Arial"/>
          <w:b/>
          <w:color w:val="000000" w:themeColor="text1"/>
          <w:sz w:val="24"/>
          <w:szCs w:val="24"/>
        </w:rPr>
        <w:t>2) Avaliação dos investimentos</w:t>
      </w:r>
      <w:r w:rsidRPr="009210FB">
        <w:rPr>
          <w:rFonts w:ascii="Arial" w:hAnsi="Arial" w:cs="Arial"/>
          <w:bCs/>
          <w:color w:val="000000" w:themeColor="text1"/>
          <w:sz w:val="24"/>
          <w:szCs w:val="24"/>
        </w:rPr>
        <w:t xml:space="preserve">: A carteira da Guarujá Previdência em </w:t>
      </w:r>
      <w:r w:rsidR="00B255A4">
        <w:rPr>
          <w:rFonts w:ascii="Arial" w:hAnsi="Arial" w:cs="Arial"/>
          <w:bCs/>
          <w:color w:val="000000" w:themeColor="text1"/>
          <w:sz w:val="24"/>
          <w:szCs w:val="24"/>
        </w:rPr>
        <w:t>junho</w:t>
      </w:r>
      <w:r w:rsidRPr="009210FB">
        <w:rPr>
          <w:rFonts w:ascii="Arial" w:hAnsi="Arial" w:cs="Arial"/>
          <w:bCs/>
          <w:color w:val="000000" w:themeColor="text1"/>
          <w:sz w:val="24"/>
          <w:szCs w:val="24"/>
        </w:rPr>
        <w:t xml:space="preserve"> de 2021 apresentou rentabilidade de </w:t>
      </w:r>
      <w:r w:rsidR="0034356D" w:rsidRPr="009210FB">
        <w:rPr>
          <w:rFonts w:ascii="Arial" w:hAnsi="Arial" w:cs="Arial"/>
          <w:bCs/>
          <w:color w:val="000000" w:themeColor="text1"/>
          <w:sz w:val="24"/>
          <w:szCs w:val="24"/>
        </w:rPr>
        <w:t>0,47</w:t>
      </w:r>
      <w:r w:rsidRPr="009210FB">
        <w:rPr>
          <w:rFonts w:ascii="Arial" w:hAnsi="Arial" w:cs="Arial"/>
          <w:bCs/>
          <w:color w:val="000000" w:themeColor="text1"/>
          <w:sz w:val="24"/>
          <w:szCs w:val="24"/>
        </w:rPr>
        <w:t>% (</w:t>
      </w:r>
      <w:r w:rsidR="0034356D" w:rsidRPr="009210FB">
        <w:rPr>
          <w:rFonts w:ascii="Arial" w:hAnsi="Arial" w:cs="Arial"/>
          <w:bCs/>
          <w:color w:val="000000" w:themeColor="text1"/>
          <w:sz w:val="24"/>
          <w:szCs w:val="24"/>
        </w:rPr>
        <w:t>quarenta e sete</w:t>
      </w:r>
      <w:r w:rsidRPr="009210FB">
        <w:rPr>
          <w:rFonts w:ascii="Arial" w:hAnsi="Arial" w:cs="Arial"/>
          <w:bCs/>
          <w:color w:val="000000" w:themeColor="text1"/>
          <w:sz w:val="24"/>
          <w:szCs w:val="24"/>
        </w:rPr>
        <w:t xml:space="preserve"> centésimo</w:t>
      </w:r>
      <w:r w:rsidR="0034356D" w:rsidRPr="009210FB">
        <w:rPr>
          <w:rFonts w:ascii="Arial" w:hAnsi="Arial" w:cs="Arial"/>
          <w:bCs/>
          <w:color w:val="000000" w:themeColor="text1"/>
          <w:sz w:val="24"/>
          <w:szCs w:val="24"/>
        </w:rPr>
        <w:t>s</w:t>
      </w:r>
      <w:r w:rsidR="00B255A4">
        <w:rPr>
          <w:rFonts w:ascii="Arial" w:hAnsi="Arial" w:cs="Arial"/>
          <w:bCs/>
          <w:color w:val="000000" w:themeColor="text1"/>
          <w:sz w:val="24"/>
          <w:szCs w:val="24"/>
        </w:rPr>
        <w:t xml:space="preserve"> porcento</w:t>
      </w:r>
      <w:r w:rsidRPr="009210FB">
        <w:rPr>
          <w:rFonts w:ascii="Arial" w:hAnsi="Arial" w:cs="Arial"/>
          <w:bCs/>
          <w:color w:val="000000" w:themeColor="text1"/>
          <w:sz w:val="24"/>
          <w:szCs w:val="24"/>
        </w:rPr>
        <w:t xml:space="preserve">), sobre a meta estabelecida de </w:t>
      </w:r>
      <w:r w:rsidR="0034356D" w:rsidRPr="009210FB">
        <w:rPr>
          <w:rFonts w:ascii="Arial" w:hAnsi="Arial" w:cs="Arial"/>
          <w:bCs/>
          <w:color w:val="000000" w:themeColor="text1"/>
          <w:sz w:val="24"/>
          <w:szCs w:val="24"/>
        </w:rPr>
        <w:t>0,91</w:t>
      </w:r>
      <w:r w:rsidRPr="009210FB">
        <w:rPr>
          <w:rFonts w:ascii="Arial" w:hAnsi="Arial" w:cs="Arial"/>
          <w:bCs/>
          <w:color w:val="000000" w:themeColor="text1"/>
          <w:sz w:val="24"/>
          <w:szCs w:val="24"/>
        </w:rPr>
        <w:t>% (</w:t>
      </w:r>
      <w:r w:rsidR="0034356D" w:rsidRPr="009210FB">
        <w:rPr>
          <w:rFonts w:ascii="Arial" w:hAnsi="Arial" w:cs="Arial"/>
          <w:bCs/>
          <w:color w:val="000000" w:themeColor="text1"/>
          <w:sz w:val="24"/>
          <w:szCs w:val="24"/>
        </w:rPr>
        <w:t xml:space="preserve">noventa e um </w:t>
      </w:r>
      <w:r w:rsidR="00316D90" w:rsidRPr="009210FB">
        <w:rPr>
          <w:rFonts w:ascii="Arial" w:hAnsi="Arial" w:cs="Arial"/>
          <w:bCs/>
          <w:color w:val="000000" w:themeColor="text1"/>
          <w:sz w:val="24"/>
          <w:szCs w:val="24"/>
        </w:rPr>
        <w:t>centésimos</w:t>
      </w:r>
      <w:r w:rsidR="00B255A4">
        <w:rPr>
          <w:rFonts w:ascii="Arial" w:hAnsi="Arial" w:cs="Arial"/>
          <w:bCs/>
          <w:color w:val="000000" w:themeColor="text1"/>
          <w:sz w:val="24"/>
          <w:szCs w:val="24"/>
        </w:rPr>
        <w:t xml:space="preserve"> porcento</w:t>
      </w:r>
      <w:r w:rsidR="00316D90" w:rsidRPr="009210FB">
        <w:rPr>
          <w:rFonts w:ascii="Arial" w:hAnsi="Arial" w:cs="Arial"/>
          <w:bCs/>
          <w:color w:val="000000" w:themeColor="text1"/>
          <w:sz w:val="24"/>
          <w:szCs w:val="24"/>
        </w:rPr>
        <w:t>)</w:t>
      </w:r>
      <w:r w:rsidRPr="009210FB">
        <w:rPr>
          <w:rFonts w:ascii="Arial" w:hAnsi="Arial" w:cs="Arial"/>
          <w:bCs/>
          <w:color w:val="000000" w:themeColor="text1"/>
          <w:sz w:val="24"/>
          <w:szCs w:val="24"/>
        </w:rPr>
        <w:t xml:space="preserve">, conforme Tabela 03. </w:t>
      </w:r>
      <w:r w:rsidRPr="00DF14AF">
        <w:rPr>
          <w:rFonts w:ascii="Arial" w:hAnsi="Arial" w:cs="Arial"/>
          <w:b/>
          <w:sz w:val="24"/>
          <w:szCs w:val="24"/>
        </w:rPr>
        <w:t>3) Análise do fluxo de caixa</w:t>
      </w:r>
      <w:r w:rsidRPr="009210FB">
        <w:rPr>
          <w:rFonts w:ascii="Arial" w:hAnsi="Arial" w:cs="Arial"/>
          <w:bCs/>
          <w:sz w:val="24"/>
          <w:szCs w:val="24"/>
        </w:rPr>
        <w:t xml:space="preserve">: Os repasses feitos pelos entes patronais referente ao mês de </w:t>
      </w:r>
      <w:r w:rsidR="00B255A4">
        <w:rPr>
          <w:rFonts w:ascii="Arial" w:hAnsi="Arial" w:cs="Arial"/>
          <w:bCs/>
          <w:sz w:val="24"/>
          <w:szCs w:val="24"/>
        </w:rPr>
        <w:t>junh</w:t>
      </w:r>
      <w:r w:rsidR="00316D90" w:rsidRPr="009210FB">
        <w:rPr>
          <w:rFonts w:ascii="Arial" w:hAnsi="Arial" w:cs="Arial"/>
          <w:bCs/>
          <w:sz w:val="24"/>
          <w:szCs w:val="24"/>
        </w:rPr>
        <w:t>o,</w:t>
      </w:r>
      <w:r w:rsidRPr="009210FB">
        <w:rPr>
          <w:rFonts w:ascii="Arial" w:hAnsi="Arial" w:cs="Arial"/>
          <w:bCs/>
          <w:sz w:val="24"/>
          <w:szCs w:val="24"/>
        </w:rPr>
        <w:t xml:space="preserve"> totalizaram o valor de R$9.</w:t>
      </w:r>
      <w:r w:rsidR="00AB02CD" w:rsidRPr="009210FB">
        <w:rPr>
          <w:rFonts w:ascii="Arial" w:hAnsi="Arial" w:cs="Arial"/>
          <w:bCs/>
          <w:sz w:val="24"/>
          <w:szCs w:val="24"/>
        </w:rPr>
        <w:t>645.731,77</w:t>
      </w:r>
      <w:r w:rsidRPr="009210FB">
        <w:rPr>
          <w:rFonts w:ascii="Arial" w:hAnsi="Arial" w:cs="Arial"/>
          <w:bCs/>
          <w:sz w:val="24"/>
          <w:szCs w:val="24"/>
        </w:rPr>
        <w:t xml:space="preserve"> (nove milhões, s</w:t>
      </w:r>
      <w:r w:rsidR="00932D32" w:rsidRPr="009210FB">
        <w:rPr>
          <w:rFonts w:ascii="Arial" w:hAnsi="Arial" w:cs="Arial"/>
          <w:bCs/>
          <w:sz w:val="24"/>
          <w:szCs w:val="24"/>
        </w:rPr>
        <w:t>eiscentos e quarenta e cinco mil, setecentos e trinta e um reais e setenta e sete centavos</w:t>
      </w:r>
      <w:r w:rsidRPr="009210FB">
        <w:rPr>
          <w:rFonts w:ascii="Arial" w:hAnsi="Arial" w:cs="Arial"/>
          <w:bCs/>
          <w:sz w:val="24"/>
          <w:szCs w:val="24"/>
        </w:rPr>
        <w:t xml:space="preserve">), sendo: Plano Financeiro: R$ </w:t>
      </w:r>
      <w:r w:rsidR="00932D32" w:rsidRPr="009210FB">
        <w:rPr>
          <w:rFonts w:ascii="Arial" w:hAnsi="Arial" w:cs="Arial"/>
          <w:bCs/>
          <w:sz w:val="24"/>
          <w:szCs w:val="24"/>
        </w:rPr>
        <w:t>5.</w:t>
      </w:r>
      <w:r w:rsidR="00D566BC" w:rsidRPr="009210FB">
        <w:rPr>
          <w:rFonts w:ascii="Arial" w:hAnsi="Arial" w:cs="Arial"/>
          <w:bCs/>
          <w:sz w:val="24"/>
          <w:szCs w:val="24"/>
        </w:rPr>
        <w:t>374.374,87</w:t>
      </w:r>
      <w:r w:rsidRPr="009210FB">
        <w:rPr>
          <w:rFonts w:ascii="Arial" w:hAnsi="Arial" w:cs="Arial"/>
          <w:bCs/>
          <w:sz w:val="24"/>
          <w:szCs w:val="24"/>
        </w:rPr>
        <w:t xml:space="preserve"> (cinco milhões, </w:t>
      </w:r>
      <w:r w:rsidR="00D566BC" w:rsidRPr="009210FB">
        <w:rPr>
          <w:rFonts w:ascii="Arial" w:hAnsi="Arial" w:cs="Arial"/>
          <w:bCs/>
          <w:sz w:val="24"/>
          <w:szCs w:val="24"/>
        </w:rPr>
        <w:t>trezentos e setenta e quatro mil</w:t>
      </w:r>
      <w:r w:rsidRPr="009210FB">
        <w:rPr>
          <w:rFonts w:ascii="Arial" w:hAnsi="Arial" w:cs="Arial"/>
          <w:bCs/>
          <w:sz w:val="24"/>
          <w:szCs w:val="24"/>
        </w:rPr>
        <w:t xml:space="preserve">, </w:t>
      </w:r>
      <w:r w:rsidR="00D566BC" w:rsidRPr="009210FB">
        <w:rPr>
          <w:rFonts w:ascii="Arial" w:hAnsi="Arial" w:cs="Arial"/>
          <w:bCs/>
          <w:sz w:val="24"/>
          <w:szCs w:val="24"/>
        </w:rPr>
        <w:t>trezentos e setenta e quatro reais</w:t>
      </w:r>
      <w:r w:rsidR="00D3558E" w:rsidRPr="009210FB">
        <w:rPr>
          <w:rFonts w:ascii="Arial" w:hAnsi="Arial" w:cs="Arial"/>
          <w:bCs/>
          <w:sz w:val="24"/>
          <w:szCs w:val="24"/>
        </w:rPr>
        <w:t xml:space="preserve"> e </w:t>
      </w:r>
      <w:r w:rsidR="00D566BC" w:rsidRPr="009210FB">
        <w:rPr>
          <w:rFonts w:ascii="Arial" w:hAnsi="Arial" w:cs="Arial"/>
          <w:bCs/>
          <w:sz w:val="24"/>
          <w:szCs w:val="24"/>
        </w:rPr>
        <w:t>oi</w:t>
      </w:r>
      <w:r w:rsidR="003B64E5" w:rsidRPr="009210FB">
        <w:rPr>
          <w:rFonts w:ascii="Arial" w:hAnsi="Arial" w:cs="Arial"/>
          <w:bCs/>
          <w:sz w:val="24"/>
          <w:szCs w:val="24"/>
        </w:rPr>
        <w:t xml:space="preserve">tenta e </w:t>
      </w:r>
      <w:r w:rsidR="00D3558E" w:rsidRPr="009210FB">
        <w:rPr>
          <w:rFonts w:ascii="Arial" w:hAnsi="Arial" w:cs="Arial"/>
          <w:bCs/>
          <w:sz w:val="24"/>
          <w:szCs w:val="24"/>
        </w:rPr>
        <w:t>sete</w:t>
      </w:r>
      <w:r w:rsidRPr="009210FB">
        <w:rPr>
          <w:rFonts w:ascii="Arial" w:hAnsi="Arial" w:cs="Arial"/>
          <w:bCs/>
          <w:sz w:val="24"/>
          <w:szCs w:val="24"/>
        </w:rPr>
        <w:t xml:space="preserve"> reais</w:t>
      </w:r>
      <w:r w:rsidR="003B64E5" w:rsidRPr="009210FB">
        <w:rPr>
          <w:rFonts w:ascii="Arial" w:hAnsi="Arial" w:cs="Arial"/>
          <w:bCs/>
          <w:sz w:val="24"/>
          <w:szCs w:val="24"/>
        </w:rPr>
        <w:t xml:space="preserve"> centavos</w:t>
      </w:r>
      <w:r w:rsidRPr="009210FB">
        <w:rPr>
          <w:rFonts w:ascii="Arial" w:hAnsi="Arial" w:cs="Arial"/>
          <w:bCs/>
          <w:sz w:val="24"/>
          <w:szCs w:val="24"/>
        </w:rPr>
        <w:t xml:space="preserve">), e no Plano Previdenciário: R$ </w:t>
      </w:r>
      <w:r w:rsidR="003B64E5" w:rsidRPr="009210FB">
        <w:rPr>
          <w:rFonts w:ascii="Arial" w:hAnsi="Arial" w:cs="Arial"/>
          <w:bCs/>
          <w:sz w:val="24"/>
          <w:szCs w:val="24"/>
        </w:rPr>
        <w:t>4.271.356,30</w:t>
      </w:r>
      <w:r w:rsidRPr="009210FB">
        <w:rPr>
          <w:rFonts w:ascii="Arial" w:hAnsi="Arial" w:cs="Arial"/>
          <w:bCs/>
          <w:sz w:val="24"/>
          <w:szCs w:val="24"/>
        </w:rPr>
        <w:t xml:space="preserve"> (quatro milhões, </w:t>
      </w:r>
      <w:r w:rsidR="003B64E5" w:rsidRPr="009210FB">
        <w:rPr>
          <w:rFonts w:ascii="Arial" w:hAnsi="Arial" w:cs="Arial"/>
          <w:bCs/>
          <w:sz w:val="24"/>
          <w:szCs w:val="24"/>
        </w:rPr>
        <w:t>duzentos e setenta e um</w:t>
      </w:r>
      <w:r w:rsidR="0004303C" w:rsidRPr="009210FB">
        <w:rPr>
          <w:rFonts w:ascii="Arial" w:hAnsi="Arial" w:cs="Arial"/>
          <w:bCs/>
          <w:sz w:val="24"/>
          <w:szCs w:val="24"/>
        </w:rPr>
        <w:t xml:space="preserve"> mil</w:t>
      </w:r>
      <w:r w:rsidRPr="009210FB">
        <w:rPr>
          <w:rFonts w:ascii="Arial" w:hAnsi="Arial" w:cs="Arial"/>
          <w:bCs/>
          <w:sz w:val="24"/>
          <w:szCs w:val="24"/>
        </w:rPr>
        <w:t xml:space="preserve">, </w:t>
      </w:r>
      <w:r w:rsidR="00C371FF" w:rsidRPr="009210FB">
        <w:rPr>
          <w:rFonts w:ascii="Arial" w:hAnsi="Arial" w:cs="Arial"/>
          <w:bCs/>
          <w:sz w:val="24"/>
          <w:szCs w:val="24"/>
        </w:rPr>
        <w:t>trezentos e cinquenta e seis</w:t>
      </w:r>
      <w:r w:rsidR="0004303C" w:rsidRPr="009210FB">
        <w:rPr>
          <w:rFonts w:ascii="Arial" w:hAnsi="Arial" w:cs="Arial"/>
          <w:bCs/>
          <w:sz w:val="24"/>
          <w:szCs w:val="24"/>
        </w:rPr>
        <w:t xml:space="preserve"> reais</w:t>
      </w:r>
      <w:r w:rsidR="00C371FF" w:rsidRPr="009210FB">
        <w:rPr>
          <w:rFonts w:ascii="Arial" w:hAnsi="Arial" w:cs="Arial"/>
          <w:bCs/>
          <w:sz w:val="24"/>
          <w:szCs w:val="24"/>
        </w:rPr>
        <w:t xml:space="preserve"> e trinta</w:t>
      </w:r>
      <w:r w:rsidRPr="009210FB">
        <w:rPr>
          <w:rFonts w:ascii="Arial" w:hAnsi="Arial" w:cs="Arial"/>
          <w:bCs/>
          <w:sz w:val="24"/>
          <w:szCs w:val="24"/>
        </w:rPr>
        <w:t xml:space="preserve"> centavos). Deste montante, destinou-se ao pagamento de aposentadorias e pensões o valor de R$ 1.</w:t>
      </w:r>
      <w:r w:rsidR="00C371FF" w:rsidRPr="009210FB">
        <w:rPr>
          <w:rFonts w:ascii="Arial" w:hAnsi="Arial" w:cs="Arial"/>
          <w:bCs/>
          <w:sz w:val="24"/>
          <w:szCs w:val="24"/>
        </w:rPr>
        <w:t>8</w:t>
      </w:r>
      <w:r w:rsidRPr="009210FB">
        <w:rPr>
          <w:rFonts w:ascii="Arial" w:hAnsi="Arial" w:cs="Arial"/>
          <w:bCs/>
          <w:sz w:val="24"/>
          <w:szCs w:val="24"/>
        </w:rPr>
        <w:t xml:space="preserve">00.000,00 (um milhão </w:t>
      </w:r>
      <w:r w:rsidR="00C371FF" w:rsidRPr="009210FB">
        <w:rPr>
          <w:rFonts w:ascii="Arial" w:hAnsi="Arial" w:cs="Arial"/>
          <w:bCs/>
          <w:sz w:val="24"/>
          <w:szCs w:val="24"/>
        </w:rPr>
        <w:t>e oitocentos</w:t>
      </w:r>
      <w:r w:rsidRPr="009210FB">
        <w:rPr>
          <w:rFonts w:ascii="Arial" w:hAnsi="Arial" w:cs="Arial"/>
          <w:bCs/>
          <w:sz w:val="24"/>
          <w:szCs w:val="24"/>
        </w:rPr>
        <w:t xml:space="preserve"> mil reais), do Plano Financeiro, e do Plano Previdenciário, o valor de R$ 2</w:t>
      </w:r>
      <w:r w:rsidR="00CC0173" w:rsidRPr="009210FB">
        <w:rPr>
          <w:rFonts w:ascii="Arial" w:hAnsi="Arial" w:cs="Arial"/>
          <w:bCs/>
          <w:sz w:val="24"/>
          <w:szCs w:val="24"/>
        </w:rPr>
        <w:t>7</w:t>
      </w:r>
      <w:r w:rsidRPr="009210FB">
        <w:rPr>
          <w:rFonts w:ascii="Arial" w:hAnsi="Arial" w:cs="Arial"/>
          <w:bCs/>
          <w:sz w:val="24"/>
          <w:szCs w:val="24"/>
        </w:rPr>
        <w:t xml:space="preserve">0.000,00 (duzentos e </w:t>
      </w:r>
      <w:r w:rsidR="00CC0173" w:rsidRPr="009210FB">
        <w:rPr>
          <w:rFonts w:ascii="Arial" w:hAnsi="Arial" w:cs="Arial"/>
          <w:bCs/>
          <w:sz w:val="24"/>
          <w:szCs w:val="24"/>
        </w:rPr>
        <w:t>setenta</w:t>
      </w:r>
      <w:r w:rsidRPr="009210FB">
        <w:rPr>
          <w:rFonts w:ascii="Arial" w:hAnsi="Arial" w:cs="Arial"/>
          <w:bCs/>
          <w:sz w:val="24"/>
          <w:szCs w:val="24"/>
        </w:rPr>
        <w:t xml:space="preserve"> mil reais). </w:t>
      </w:r>
      <w:r w:rsidRPr="00DF14AF">
        <w:rPr>
          <w:rFonts w:ascii="Arial" w:hAnsi="Arial" w:cs="Arial"/>
          <w:b/>
          <w:sz w:val="24"/>
          <w:szCs w:val="24"/>
        </w:rPr>
        <w:t>4) Proposições de investimentos/desinvestimentos:</w:t>
      </w:r>
      <w:r w:rsidRPr="00FB4D35">
        <w:rPr>
          <w:rFonts w:ascii="Arial" w:hAnsi="Arial" w:cs="Arial"/>
          <w:bCs/>
          <w:sz w:val="24"/>
          <w:szCs w:val="24"/>
        </w:rPr>
        <w:t xml:space="preserve"> </w:t>
      </w:r>
      <w:r w:rsidR="009460F0" w:rsidRPr="00FB4D35">
        <w:rPr>
          <w:rFonts w:ascii="Arial" w:hAnsi="Arial" w:cs="Arial"/>
          <w:bCs/>
          <w:sz w:val="24"/>
          <w:szCs w:val="24"/>
        </w:rPr>
        <w:t>O valor total</w:t>
      </w:r>
      <w:r w:rsidR="00756EE3">
        <w:rPr>
          <w:rFonts w:ascii="Arial" w:hAnsi="Arial" w:cs="Arial"/>
          <w:bCs/>
          <w:sz w:val="24"/>
          <w:szCs w:val="24"/>
        </w:rPr>
        <w:t xml:space="preserve"> </w:t>
      </w:r>
      <w:r w:rsidRPr="00FB4D35">
        <w:rPr>
          <w:rFonts w:ascii="Arial" w:hAnsi="Arial" w:cs="Arial"/>
          <w:bCs/>
          <w:sz w:val="24"/>
          <w:szCs w:val="24"/>
        </w:rPr>
        <w:t xml:space="preserve">líquido </w:t>
      </w:r>
      <w:r w:rsidR="00894B62">
        <w:rPr>
          <w:rFonts w:ascii="Arial" w:hAnsi="Arial" w:cs="Arial"/>
          <w:bCs/>
          <w:sz w:val="24"/>
          <w:szCs w:val="24"/>
        </w:rPr>
        <w:t xml:space="preserve">do repasse mensal </w:t>
      </w:r>
      <w:r w:rsidRPr="00FB4D35">
        <w:rPr>
          <w:rFonts w:ascii="Arial" w:hAnsi="Arial" w:cs="Arial"/>
          <w:bCs/>
          <w:sz w:val="24"/>
          <w:szCs w:val="24"/>
        </w:rPr>
        <w:t xml:space="preserve">do fundo financeiro de </w:t>
      </w:r>
      <w:r w:rsidRPr="00FB4D35">
        <w:rPr>
          <w:rFonts w:ascii="Arial" w:eastAsia="Times New Roman" w:hAnsi="Arial" w:cs="Arial"/>
          <w:bCs/>
          <w:sz w:val="24"/>
          <w:szCs w:val="24"/>
        </w:rPr>
        <w:t>R$ 3.</w:t>
      </w:r>
      <w:r w:rsidR="00FE2F3E" w:rsidRPr="00FB4D35">
        <w:rPr>
          <w:rFonts w:ascii="Arial" w:hAnsi="Arial" w:cs="Arial"/>
          <w:bCs/>
          <w:sz w:val="24"/>
          <w:szCs w:val="24"/>
        </w:rPr>
        <w:t>574.374,87</w:t>
      </w:r>
      <w:r w:rsidRPr="00FB4D35">
        <w:rPr>
          <w:rFonts w:ascii="Arial" w:hAnsi="Arial" w:cs="Arial"/>
          <w:bCs/>
          <w:sz w:val="24"/>
          <w:szCs w:val="24"/>
        </w:rPr>
        <w:t xml:space="preserve"> (três milhões, </w:t>
      </w:r>
      <w:r w:rsidR="00FE2F3E" w:rsidRPr="00FB4D35">
        <w:rPr>
          <w:rFonts w:ascii="Arial" w:hAnsi="Arial" w:cs="Arial"/>
          <w:bCs/>
          <w:sz w:val="24"/>
          <w:szCs w:val="24"/>
        </w:rPr>
        <w:t>quinhentos e setenta e qu</w:t>
      </w:r>
      <w:r w:rsidR="009210FB" w:rsidRPr="00FB4D35">
        <w:rPr>
          <w:rFonts w:ascii="Arial" w:hAnsi="Arial" w:cs="Arial"/>
          <w:bCs/>
          <w:sz w:val="24"/>
          <w:szCs w:val="24"/>
        </w:rPr>
        <w:t>atro</w:t>
      </w:r>
      <w:r w:rsidRPr="00FB4D35">
        <w:rPr>
          <w:rFonts w:ascii="Arial" w:hAnsi="Arial" w:cs="Arial"/>
          <w:bCs/>
          <w:sz w:val="24"/>
          <w:szCs w:val="24"/>
        </w:rPr>
        <w:t xml:space="preserve"> mil, </w:t>
      </w:r>
      <w:r w:rsidR="009210FB" w:rsidRPr="00FB4D35">
        <w:rPr>
          <w:rFonts w:ascii="Arial" w:hAnsi="Arial" w:cs="Arial"/>
          <w:bCs/>
          <w:sz w:val="24"/>
          <w:szCs w:val="24"/>
        </w:rPr>
        <w:t>trezentos e setenta e quatro</w:t>
      </w:r>
      <w:r w:rsidRPr="00FB4D35">
        <w:rPr>
          <w:rFonts w:ascii="Arial" w:hAnsi="Arial" w:cs="Arial"/>
          <w:bCs/>
          <w:sz w:val="24"/>
          <w:szCs w:val="24"/>
        </w:rPr>
        <w:t xml:space="preserve"> reais e </w:t>
      </w:r>
      <w:r w:rsidR="009210FB" w:rsidRPr="00FB4D35">
        <w:rPr>
          <w:rFonts w:ascii="Arial" w:hAnsi="Arial" w:cs="Arial"/>
          <w:bCs/>
          <w:sz w:val="24"/>
          <w:szCs w:val="24"/>
        </w:rPr>
        <w:t>oitenta e sete</w:t>
      </w:r>
      <w:r w:rsidRPr="00FB4D35">
        <w:rPr>
          <w:rFonts w:ascii="Arial" w:hAnsi="Arial" w:cs="Arial"/>
          <w:bCs/>
          <w:sz w:val="24"/>
          <w:szCs w:val="24"/>
        </w:rPr>
        <w:t xml:space="preserve"> centavos) será aplicado</w:t>
      </w:r>
      <w:r w:rsidR="009460F0" w:rsidRPr="00FB4D35">
        <w:rPr>
          <w:rFonts w:ascii="Arial" w:hAnsi="Arial" w:cs="Arial"/>
          <w:bCs/>
          <w:sz w:val="24"/>
          <w:szCs w:val="24"/>
        </w:rPr>
        <w:t xml:space="preserve"> no Fundo </w:t>
      </w:r>
      <w:r w:rsidR="002F2289" w:rsidRPr="00FB4D35">
        <w:rPr>
          <w:rFonts w:ascii="Arial" w:hAnsi="Arial" w:cs="Arial"/>
          <w:bCs/>
          <w:sz w:val="24"/>
          <w:szCs w:val="24"/>
        </w:rPr>
        <w:t>FI CAIXA BRASIL IDKA IPCA 2A TÍTULOS PÚBLICOS RF LP</w:t>
      </w:r>
      <w:r w:rsidR="009460F0" w:rsidRPr="00FB4D35">
        <w:rPr>
          <w:rFonts w:ascii="Arial" w:hAnsi="Arial" w:cs="Arial"/>
          <w:bCs/>
          <w:sz w:val="24"/>
          <w:szCs w:val="24"/>
        </w:rPr>
        <w:t xml:space="preserve">– CNPJ.: </w:t>
      </w:r>
      <w:r w:rsidR="00DE2479" w:rsidRPr="00FB4D35">
        <w:rPr>
          <w:rFonts w:ascii="Arial" w:hAnsi="Arial" w:cs="Arial"/>
          <w:bCs/>
          <w:sz w:val="24"/>
          <w:szCs w:val="24"/>
          <w:shd w:val="clear" w:color="auto" w:fill="FFFFFF"/>
        </w:rPr>
        <w:t>14.386.926</w:t>
      </w:r>
      <w:r w:rsidR="00DE2479" w:rsidRPr="00E2071E">
        <w:rPr>
          <w:rFonts w:ascii="Arial" w:hAnsi="Arial" w:cs="Arial"/>
          <w:bCs/>
          <w:sz w:val="24"/>
          <w:szCs w:val="24"/>
          <w:shd w:val="clear" w:color="auto" w:fill="FFFFFF"/>
        </w:rPr>
        <w:t>/0001-71</w:t>
      </w:r>
      <w:r w:rsidR="00F12B14" w:rsidRPr="00E2071E">
        <w:rPr>
          <w:rFonts w:ascii="Arial" w:hAnsi="Arial" w:cs="Arial"/>
          <w:bCs/>
          <w:sz w:val="24"/>
          <w:szCs w:val="24"/>
        </w:rPr>
        <w:t>, conforme tabela 02</w:t>
      </w:r>
      <w:r w:rsidR="009460F0" w:rsidRPr="00E2071E">
        <w:rPr>
          <w:rFonts w:ascii="Arial" w:hAnsi="Arial" w:cs="Arial"/>
          <w:bCs/>
          <w:sz w:val="24"/>
          <w:szCs w:val="24"/>
        </w:rPr>
        <w:t xml:space="preserve">. No Fundo Previdenciário o valor total líquido de </w:t>
      </w:r>
      <w:r w:rsidR="001A53C3" w:rsidRPr="00E2071E">
        <w:rPr>
          <w:rFonts w:ascii="Arial" w:hAnsi="Arial" w:cs="Arial"/>
          <w:bCs/>
          <w:sz w:val="24"/>
          <w:szCs w:val="24"/>
        </w:rPr>
        <w:t xml:space="preserve">R$ </w:t>
      </w:r>
      <w:r w:rsidR="00FE2F3E" w:rsidRPr="00E2071E">
        <w:rPr>
          <w:rFonts w:ascii="Arial" w:hAnsi="Arial" w:cs="Arial"/>
          <w:bCs/>
          <w:sz w:val="24"/>
          <w:szCs w:val="24"/>
        </w:rPr>
        <w:t>4.001.356,30</w:t>
      </w:r>
      <w:r w:rsidR="001A53C3" w:rsidRPr="00E2071E">
        <w:rPr>
          <w:rFonts w:ascii="Arial" w:hAnsi="Arial" w:cs="Arial"/>
          <w:bCs/>
          <w:sz w:val="24"/>
          <w:szCs w:val="24"/>
        </w:rPr>
        <w:t xml:space="preserve"> (quatro milhões, </w:t>
      </w:r>
      <w:r w:rsidR="009210FB" w:rsidRPr="00E2071E">
        <w:rPr>
          <w:rFonts w:ascii="Arial" w:hAnsi="Arial" w:cs="Arial"/>
          <w:bCs/>
          <w:sz w:val="24"/>
          <w:szCs w:val="24"/>
        </w:rPr>
        <w:t>um</w:t>
      </w:r>
      <w:r w:rsidR="001A53C3" w:rsidRPr="00E2071E">
        <w:rPr>
          <w:rFonts w:ascii="Arial" w:hAnsi="Arial" w:cs="Arial"/>
          <w:bCs/>
          <w:sz w:val="24"/>
          <w:szCs w:val="24"/>
        </w:rPr>
        <w:t xml:space="preserve"> mil, </w:t>
      </w:r>
      <w:r w:rsidR="009210FB" w:rsidRPr="00E2071E">
        <w:rPr>
          <w:rFonts w:ascii="Arial" w:hAnsi="Arial" w:cs="Arial"/>
          <w:bCs/>
          <w:sz w:val="24"/>
          <w:szCs w:val="24"/>
        </w:rPr>
        <w:t>trezentos e cinquenta e seis</w:t>
      </w:r>
      <w:r w:rsidR="001A53C3" w:rsidRPr="00E2071E">
        <w:rPr>
          <w:rFonts w:ascii="Arial" w:hAnsi="Arial" w:cs="Arial"/>
          <w:bCs/>
          <w:sz w:val="24"/>
          <w:szCs w:val="24"/>
        </w:rPr>
        <w:t xml:space="preserve"> reais e noventa e um centavos) será aplicado no Fundo</w:t>
      </w:r>
      <w:r w:rsidR="00756EE3">
        <w:rPr>
          <w:rFonts w:ascii="Arial" w:hAnsi="Arial" w:cs="Arial"/>
          <w:bCs/>
          <w:sz w:val="24"/>
          <w:szCs w:val="24"/>
        </w:rPr>
        <w:t xml:space="preserve"> </w:t>
      </w:r>
      <w:r w:rsidR="00976356" w:rsidRPr="00E2071E">
        <w:rPr>
          <w:rFonts w:ascii="Arial" w:hAnsi="Arial" w:cs="Arial"/>
          <w:bCs/>
          <w:sz w:val="24"/>
          <w:szCs w:val="24"/>
        </w:rPr>
        <w:t xml:space="preserve">SANTANDER GO GLOBAL EQUITY ESG REAIS MULT IE FI </w:t>
      </w:r>
      <w:r w:rsidR="0050313B" w:rsidRPr="00E2071E">
        <w:rPr>
          <w:rFonts w:ascii="Arial" w:hAnsi="Arial" w:cs="Arial"/>
          <w:bCs/>
          <w:sz w:val="24"/>
          <w:szCs w:val="24"/>
        </w:rPr>
        <w:t>– CNPJ.:</w:t>
      </w:r>
      <w:r w:rsidR="00FE2F3E" w:rsidRPr="00E2071E">
        <w:rPr>
          <w:rFonts w:ascii="Arial" w:hAnsi="Arial" w:cs="Arial"/>
          <w:bCs/>
          <w:sz w:val="24"/>
          <w:szCs w:val="24"/>
        </w:rPr>
        <w:t>34.258.351/0001-19</w:t>
      </w:r>
      <w:r w:rsidR="00F12B14" w:rsidRPr="00E2071E">
        <w:rPr>
          <w:rFonts w:ascii="Arial" w:hAnsi="Arial" w:cs="Arial"/>
          <w:bCs/>
          <w:sz w:val="24"/>
          <w:szCs w:val="24"/>
        </w:rPr>
        <w:t>,</w:t>
      </w:r>
      <w:r w:rsidRPr="00E2071E">
        <w:rPr>
          <w:rFonts w:ascii="Arial" w:hAnsi="Arial" w:cs="Arial"/>
          <w:bCs/>
          <w:sz w:val="24"/>
          <w:szCs w:val="24"/>
        </w:rPr>
        <w:t xml:space="preserve"> conforme Tabela </w:t>
      </w:r>
      <w:r w:rsidRPr="00756EE3">
        <w:rPr>
          <w:rFonts w:ascii="Arial" w:hAnsi="Arial" w:cs="Arial"/>
          <w:bCs/>
          <w:color w:val="000000" w:themeColor="text1"/>
          <w:sz w:val="24"/>
          <w:szCs w:val="24"/>
        </w:rPr>
        <w:t>02.</w:t>
      </w:r>
      <w:r w:rsidR="00756EE3">
        <w:rPr>
          <w:rFonts w:ascii="Arial" w:hAnsi="Arial" w:cs="Arial"/>
          <w:bCs/>
          <w:color w:val="FF0000"/>
          <w:sz w:val="24"/>
          <w:szCs w:val="24"/>
        </w:rPr>
        <w:t xml:space="preserve"> </w:t>
      </w:r>
      <w:r w:rsidR="00576063" w:rsidRPr="00CB16A3">
        <w:rPr>
          <w:rFonts w:ascii="Arial" w:hAnsi="Arial" w:cs="Arial"/>
          <w:bCs/>
          <w:sz w:val="24"/>
          <w:szCs w:val="24"/>
        </w:rPr>
        <w:t>O</w:t>
      </w:r>
      <w:r w:rsidR="00756EE3">
        <w:rPr>
          <w:rFonts w:ascii="Arial" w:hAnsi="Arial" w:cs="Arial"/>
          <w:bCs/>
          <w:sz w:val="24"/>
          <w:szCs w:val="24"/>
        </w:rPr>
        <w:t xml:space="preserve"> </w:t>
      </w:r>
      <w:r w:rsidR="00576063" w:rsidRPr="00910E2F">
        <w:rPr>
          <w:rFonts w:ascii="Arial" w:hAnsi="Arial" w:cs="Arial"/>
          <w:sz w:val="24"/>
          <w:szCs w:val="24"/>
        </w:rPr>
        <w:t>valor resgatado o fundo ITAÚ INSTITUCIONAL AÇÕES PHOENIX FICFI (CNPJ.: 23.731.629/0001-07) decidido na reunião</w:t>
      </w:r>
      <w:r w:rsidR="00756EE3">
        <w:rPr>
          <w:rFonts w:ascii="Arial" w:hAnsi="Arial" w:cs="Arial"/>
          <w:sz w:val="24"/>
          <w:szCs w:val="24"/>
        </w:rPr>
        <w:t xml:space="preserve"> </w:t>
      </w:r>
      <w:r w:rsidR="00733FE4">
        <w:rPr>
          <w:rFonts w:ascii="Arial" w:hAnsi="Arial" w:cs="Arial"/>
          <w:sz w:val="24"/>
          <w:szCs w:val="24"/>
        </w:rPr>
        <w:t xml:space="preserve">ordinária </w:t>
      </w:r>
      <w:r w:rsidR="00BC6135" w:rsidRPr="00910E2F">
        <w:rPr>
          <w:rFonts w:ascii="Arial" w:hAnsi="Arial" w:cs="Arial"/>
          <w:sz w:val="24"/>
          <w:szCs w:val="24"/>
        </w:rPr>
        <w:t xml:space="preserve">passada, no valor de R$ </w:t>
      </w:r>
      <w:r w:rsidR="00E94244" w:rsidRPr="00910E2F">
        <w:rPr>
          <w:rFonts w:ascii="Arial" w:hAnsi="Arial" w:cs="Arial"/>
          <w:sz w:val="24"/>
          <w:szCs w:val="24"/>
        </w:rPr>
        <w:t xml:space="preserve">9.219.454,74 (Nove milhões duzentos e </w:t>
      </w:r>
      <w:r w:rsidR="005744D9" w:rsidRPr="00910E2F">
        <w:rPr>
          <w:rFonts w:ascii="Arial" w:hAnsi="Arial" w:cs="Arial"/>
          <w:sz w:val="24"/>
          <w:szCs w:val="24"/>
        </w:rPr>
        <w:t xml:space="preserve">dezenove mil  quatrocentos e cinquenta e quatro reais e setenta e quatro centavos) </w:t>
      </w:r>
      <w:r w:rsidR="00756EE3">
        <w:rPr>
          <w:rFonts w:ascii="Arial" w:hAnsi="Arial" w:cs="Arial"/>
          <w:sz w:val="24"/>
          <w:szCs w:val="24"/>
        </w:rPr>
        <w:t xml:space="preserve">será </w:t>
      </w:r>
      <w:r w:rsidR="00236F88" w:rsidRPr="00910E2F">
        <w:rPr>
          <w:rFonts w:ascii="Arial" w:hAnsi="Arial" w:cs="Arial"/>
          <w:sz w:val="24"/>
          <w:szCs w:val="24"/>
        </w:rPr>
        <w:t xml:space="preserve">aplicado </w:t>
      </w:r>
      <w:r w:rsidR="00236F88" w:rsidRPr="00910E2F">
        <w:rPr>
          <w:rFonts w:ascii="Arial" w:hAnsi="Arial" w:cs="Arial"/>
          <w:bCs/>
          <w:sz w:val="24"/>
          <w:szCs w:val="24"/>
        </w:rPr>
        <w:t>no Fundo SANTANDER GO GLOBAL EQUITY ESG REAIS MULT IE FI – CNPJ.: 34.258.351/0001-19</w:t>
      </w:r>
      <w:r w:rsidR="00910E2F">
        <w:rPr>
          <w:rFonts w:ascii="Arial" w:hAnsi="Arial" w:cs="Arial"/>
          <w:bCs/>
          <w:sz w:val="24"/>
          <w:szCs w:val="24"/>
        </w:rPr>
        <w:t>.</w:t>
      </w:r>
      <w:r w:rsidRPr="00A5042F">
        <w:rPr>
          <w:rFonts w:ascii="Arial" w:hAnsi="Arial" w:cs="Arial"/>
          <w:sz w:val="24"/>
          <w:szCs w:val="24"/>
        </w:rPr>
        <w:t>Principais Motivações:</w:t>
      </w:r>
      <w:r w:rsidR="00756EE3">
        <w:rPr>
          <w:rFonts w:ascii="Arial" w:hAnsi="Arial" w:cs="Arial"/>
          <w:sz w:val="24"/>
          <w:szCs w:val="24"/>
        </w:rPr>
        <w:t xml:space="preserve"> </w:t>
      </w:r>
      <w:r w:rsidR="00E6084D" w:rsidRPr="00916D3A">
        <w:rPr>
          <w:rFonts w:ascii="Arial" w:hAnsi="Arial" w:cs="Arial"/>
          <w:sz w:val="24"/>
          <w:szCs w:val="24"/>
        </w:rPr>
        <w:t xml:space="preserve">A aplicação no </w:t>
      </w:r>
      <w:r w:rsidR="005B2294" w:rsidRPr="00916D3A">
        <w:rPr>
          <w:rFonts w:ascii="Arial" w:hAnsi="Arial" w:cs="Arial"/>
          <w:bCs/>
          <w:sz w:val="24"/>
          <w:szCs w:val="24"/>
        </w:rPr>
        <w:t xml:space="preserve">FI CAIXA BRASIL IDKA IPCA 2A TÍTULOS PÚBLICOS RF LP– CNPJ.: </w:t>
      </w:r>
      <w:r w:rsidR="005B2294" w:rsidRPr="00916D3A">
        <w:rPr>
          <w:rFonts w:ascii="Arial" w:hAnsi="Arial" w:cs="Arial"/>
          <w:bCs/>
          <w:sz w:val="24"/>
          <w:szCs w:val="24"/>
          <w:shd w:val="clear" w:color="auto" w:fill="FFFFFF"/>
        </w:rPr>
        <w:t>14.386.926/0001-71</w:t>
      </w:r>
      <w:r w:rsidR="00E6084D" w:rsidRPr="00916D3A">
        <w:rPr>
          <w:rFonts w:ascii="Arial" w:hAnsi="Arial" w:cs="Arial"/>
          <w:bCs/>
          <w:sz w:val="24"/>
          <w:szCs w:val="24"/>
          <w:shd w:val="clear" w:color="auto" w:fill="FFFFFF"/>
        </w:rPr>
        <w:t xml:space="preserve"> deu-se devido a necessidade de </w:t>
      </w:r>
      <w:r w:rsidR="00515373" w:rsidRPr="00916D3A">
        <w:rPr>
          <w:rFonts w:ascii="Arial" w:hAnsi="Arial" w:cs="Arial"/>
          <w:bCs/>
          <w:sz w:val="24"/>
          <w:szCs w:val="24"/>
          <w:shd w:val="clear" w:color="auto" w:fill="FFFFFF"/>
        </w:rPr>
        <w:t>atender a estratégia de aumento em Renda Fixa no Fundo Financeiro</w:t>
      </w:r>
      <w:r w:rsidR="00C7543C" w:rsidRPr="00916D3A">
        <w:rPr>
          <w:rFonts w:ascii="Arial" w:hAnsi="Arial" w:cs="Arial"/>
          <w:bCs/>
          <w:sz w:val="24"/>
          <w:szCs w:val="24"/>
          <w:shd w:val="clear" w:color="auto" w:fill="FFFFFF"/>
        </w:rPr>
        <w:t xml:space="preserve">, conforme </w:t>
      </w:r>
      <w:r w:rsidR="00C7543C">
        <w:rPr>
          <w:rFonts w:ascii="Arial" w:hAnsi="Arial" w:cs="Arial"/>
          <w:bCs/>
          <w:sz w:val="24"/>
          <w:szCs w:val="24"/>
          <w:shd w:val="clear" w:color="auto" w:fill="FFFFFF"/>
        </w:rPr>
        <w:t xml:space="preserve">estipulado pelo Estudo ALM. A </w:t>
      </w:r>
      <w:r w:rsidR="002711D4">
        <w:rPr>
          <w:rFonts w:ascii="Arial" w:hAnsi="Arial" w:cs="Arial"/>
          <w:bCs/>
          <w:sz w:val="24"/>
          <w:szCs w:val="24"/>
          <w:shd w:val="clear" w:color="auto" w:fill="FFFFFF"/>
        </w:rPr>
        <w:t xml:space="preserve">aplicação no Fundo </w:t>
      </w:r>
      <w:r w:rsidR="002711D4" w:rsidRPr="00E2071E">
        <w:rPr>
          <w:rFonts w:ascii="Arial" w:hAnsi="Arial" w:cs="Arial"/>
          <w:bCs/>
          <w:sz w:val="24"/>
          <w:szCs w:val="24"/>
        </w:rPr>
        <w:t>SANTANDER GO GLOBAL EQUITY ESG REAIS MULT IE FI – CNPJ.: 34.258.351/0001-19</w:t>
      </w:r>
      <w:r w:rsidR="003C32F9">
        <w:rPr>
          <w:rFonts w:ascii="Arial" w:hAnsi="Arial" w:cs="Arial"/>
          <w:bCs/>
          <w:sz w:val="24"/>
          <w:szCs w:val="24"/>
          <w:shd w:val="clear" w:color="auto" w:fill="FFFFFF"/>
        </w:rPr>
        <w:t xml:space="preserve">deu-se devido a necessidade de atender a estratégia de aumento em investimento </w:t>
      </w:r>
      <w:r w:rsidR="006A5247">
        <w:rPr>
          <w:rFonts w:ascii="Arial" w:hAnsi="Arial" w:cs="Arial"/>
          <w:bCs/>
          <w:sz w:val="24"/>
          <w:szCs w:val="24"/>
          <w:shd w:val="clear" w:color="auto" w:fill="FFFFFF"/>
        </w:rPr>
        <w:t>no exterior</w:t>
      </w:r>
      <w:r w:rsidR="003C32F9">
        <w:rPr>
          <w:rFonts w:ascii="Arial" w:hAnsi="Arial" w:cs="Arial"/>
          <w:bCs/>
          <w:sz w:val="24"/>
          <w:szCs w:val="24"/>
          <w:shd w:val="clear" w:color="auto" w:fill="FFFFFF"/>
        </w:rPr>
        <w:t>, conforme estipulado</w:t>
      </w:r>
      <w:r w:rsidR="00756EE3">
        <w:rPr>
          <w:rFonts w:ascii="Arial" w:hAnsi="Arial" w:cs="Arial"/>
          <w:bCs/>
          <w:sz w:val="24"/>
          <w:szCs w:val="24"/>
          <w:shd w:val="clear" w:color="auto" w:fill="FFFFFF"/>
        </w:rPr>
        <w:t xml:space="preserve"> </w:t>
      </w:r>
      <w:r w:rsidR="006A5247">
        <w:rPr>
          <w:rFonts w:ascii="Arial" w:hAnsi="Arial" w:cs="Arial"/>
          <w:bCs/>
          <w:sz w:val="24"/>
          <w:szCs w:val="24"/>
          <w:shd w:val="clear" w:color="auto" w:fill="FFFFFF"/>
        </w:rPr>
        <w:t xml:space="preserve">pelo Estudo ALM, </w:t>
      </w:r>
      <w:r w:rsidR="00107BF3">
        <w:rPr>
          <w:rFonts w:ascii="Arial" w:hAnsi="Arial" w:cs="Arial"/>
          <w:bCs/>
          <w:sz w:val="24"/>
          <w:szCs w:val="24"/>
          <w:shd w:val="clear" w:color="auto" w:fill="FFFFFF"/>
        </w:rPr>
        <w:t xml:space="preserve">bem como, aplicação do valor resgatado no mês anterior do Fundo </w:t>
      </w:r>
      <w:r w:rsidR="00107BF3" w:rsidRPr="00910E2F">
        <w:rPr>
          <w:rFonts w:ascii="Arial" w:hAnsi="Arial" w:cs="Arial"/>
          <w:sz w:val="24"/>
          <w:szCs w:val="24"/>
        </w:rPr>
        <w:t>ITAÚ INSTITUCIONAL AÇÕES PHOENIX FICFI (CNPJ.: 23.731.629/0001-07)</w:t>
      </w:r>
      <w:r w:rsidR="00F26052">
        <w:rPr>
          <w:rFonts w:ascii="Arial" w:hAnsi="Arial" w:cs="Arial"/>
          <w:sz w:val="24"/>
          <w:szCs w:val="24"/>
        </w:rPr>
        <w:t xml:space="preserve">. </w:t>
      </w:r>
      <w:r w:rsidRPr="00DF14AF">
        <w:rPr>
          <w:rFonts w:ascii="Arial" w:hAnsi="Arial" w:cs="Arial"/>
          <w:b/>
          <w:bCs/>
          <w:sz w:val="24"/>
          <w:szCs w:val="24"/>
        </w:rPr>
        <w:t>Desinvestimentos:</w:t>
      </w:r>
      <w:r w:rsidR="00756EE3">
        <w:rPr>
          <w:rFonts w:ascii="Arial" w:hAnsi="Arial" w:cs="Arial"/>
          <w:sz w:val="24"/>
          <w:szCs w:val="24"/>
        </w:rPr>
        <w:t xml:space="preserve"> </w:t>
      </w:r>
      <w:r w:rsidR="00C632DA" w:rsidRPr="00A5042F">
        <w:rPr>
          <w:rFonts w:ascii="Arial" w:hAnsi="Arial" w:cs="Arial"/>
          <w:sz w:val="24"/>
          <w:szCs w:val="24"/>
        </w:rPr>
        <w:t>Resgatar</w:t>
      </w:r>
      <w:r w:rsidR="0077370A" w:rsidRPr="00A5042F">
        <w:rPr>
          <w:rFonts w:ascii="Arial" w:hAnsi="Arial" w:cs="Arial"/>
          <w:sz w:val="24"/>
          <w:szCs w:val="24"/>
        </w:rPr>
        <w:t xml:space="preserve"> do Fundo </w:t>
      </w:r>
      <w:r w:rsidR="0077370A" w:rsidRPr="00A5042F">
        <w:rPr>
          <w:rFonts w:ascii="Arial" w:eastAsia="Times New Roman" w:hAnsi="Arial" w:cs="Arial"/>
          <w:sz w:val="24"/>
          <w:szCs w:val="24"/>
        </w:rPr>
        <w:t>SAFRA S</w:t>
      </w:r>
      <w:r w:rsidR="008F619B">
        <w:rPr>
          <w:rFonts w:ascii="Arial" w:eastAsia="Times New Roman" w:hAnsi="Arial" w:cs="Arial"/>
          <w:sz w:val="24"/>
          <w:szCs w:val="24"/>
        </w:rPr>
        <w:t>&amp;</w:t>
      </w:r>
      <w:r w:rsidR="0077370A" w:rsidRPr="00A5042F">
        <w:rPr>
          <w:rFonts w:ascii="Arial" w:eastAsia="Times New Roman" w:hAnsi="Arial" w:cs="Arial"/>
          <w:sz w:val="24"/>
          <w:szCs w:val="24"/>
        </w:rPr>
        <w:t>P REAIS PB FI MULTIMERCADO, CNPJ 21.595.829/0001-54, o</w:t>
      </w:r>
      <w:r w:rsidR="0077370A" w:rsidRPr="00A5042F">
        <w:rPr>
          <w:rFonts w:ascii="Arial" w:hAnsi="Arial" w:cs="Arial"/>
          <w:sz w:val="24"/>
          <w:szCs w:val="24"/>
        </w:rPr>
        <w:t xml:space="preserve"> valor de R$5.000.000,00 (Cinco milhões de reais) e investi</w:t>
      </w:r>
      <w:r w:rsidR="00C632DA" w:rsidRPr="00A5042F">
        <w:rPr>
          <w:rFonts w:ascii="Arial" w:hAnsi="Arial" w:cs="Arial"/>
          <w:sz w:val="24"/>
          <w:szCs w:val="24"/>
        </w:rPr>
        <w:t>r</w:t>
      </w:r>
      <w:r w:rsidR="0077370A" w:rsidRPr="00A5042F">
        <w:rPr>
          <w:rFonts w:ascii="Arial" w:hAnsi="Arial" w:cs="Arial"/>
          <w:sz w:val="24"/>
          <w:szCs w:val="24"/>
        </w:rPr>
        <w:t xml:space="preserve"> no Fundo </w:t>
      </w:r>
      <w:r w:rsidR="002B17DA" w:rsidRPr="00A5042F">
        <w:rPr>
          <w:rFonts w:ascii="Arial" w:hAnsi="Arial" w:cs="Arial"/>
          <w:sz w:val="24"/>
          <w:szCs w:val="24"/>
        </w:rPr>
        <w:t>BTG PACTUAL S&amp;P 500 BRL FIM</w:t>
      </w:r>
      <w:r w:rsidR="0077370A" w:rsidRPr="00A5042F">
        <w:rPr>
          <w:rFonts w:ascii="Arial" w:hAnsi="Arial" w:cs="Arial"/>
          <w:sz w:val="24"/>
          <w:szCs w:val="24"/>
        </w:rPr>
        <w:t>, CNPJ 36.499.594/0001-74</w:t>
      </w:r>
      <w:r w:rsidR="00EC5DF1" w:rsidRPr="00A5042F">
        <w:rPr>
          <w:rFonts w:ascii="Arial" w:hAnsi="Arial" w:cs="Arial"/>
          <w:sz w:val="24"/>
          <w:szCs w:val="24"/>
        </w:rPr>
        <w:t xml:space="preserve">. </w:t>
      </w:r>
      <w:r w:rsidR="00EC5DF1" w:rsidRPr="00DF14AF">
        <w:rPr>
          <w:rFonts w:ascii="Arial" w:hAnsi="Arial" w:cs="Arial"/>
          <w:b/>
          <w:bCs/>
          <w:sz w:val="24"/>
          <w:szCs w:val="24"/>
        </w:rPr>
        <w:t>Principais Motivações:</w:t>
      </w:r>
      <w:r w:rsidR="00756EE3">
        <w:rPr>
          <w:rFonts w:ascii="Arial" w:hAnsi="Arial" w:cs="Arial"/>
          <w:sz w:val="24"/>
          <w:szCs w:val="24"/>
        </w:rPr>
        <w:t xml:space="preserve"> </w:t>
      </w:r>
      <w:r w:rsidR="002B17DA" w:rsidRPr="00A5042F">
        <w:rPr>
          <w:rFonts w:ascii="Arial" w:hAnsi="Arial" w:cs="Arial"/>
          <w:sz w:val="24"/>
          <w:szCs w:val="24"/>
        </w:rPr>
        <w:t xml:space="preserve">O Fundo BTG PACTUAL S&amp;P 500 BRL FIM, CNPJ 36.499.594/0001-74, apresentou uma melhor performance e </w:t>
      </w:r>
      <w:r w:rsidR="00415359" w:rsidRPr="00A5042F">
        <w:rPr>
          <w:rFonts w:ascii="Arial" w:hAnsi="Arial" w:cs="Arial"/>
          <w:sz w:val="24"/>
          <w:szCs w:val="24"/>
        </w:rPr>
        <w:t xml:space="preserve">uma taxa de administração mais atrativa. Foi </w:t>
      </w:r>
      <w:r w:rsidR="0008610C" w:rsidRPr="00A5042F">
        <w:rPr>
          <w:rFonts w:ascii="Arial" w:hAnsi="Arial" w:cs="Arial"/>
          <w:sz w:val="24"/>
          <w:szCs w:val="24"/>
        </w:rPr>
        <w:t xml:space="preserve">realocado apenas essa quantia, devido a limitação </w:t>
      </w:r>
      <w:r w:rsidR="00244DDE" w:rsidRPr="00A5042F">
        <w:rPr>
          <w:rFonts w:ascii="Arial" w:hAnsi="Arial" w:cs="Arial"/>
          <w:sz w:val="24"/>
          <w:szCs w:val="24"/>
        </w:rPr>
        <w:t>de 5</w:t>
      </w:r>
      <w:r w:rsidR="009B4083" w:rsidRPr="00A5042F">
        <w:rPr>
          <w:rFonts w:ascii="Arial" w:hAnsi="Arial" w:cs="Arial"/>
          <w:sz w:val="24"/>
          <w:szCs w:val="24"/>
        </w:rPr>
        <w:t xml:space="preserve">% do Patrimônio do Fundo, de acordo com a Resolução </w:t>
      </w:r>
      <w:proofErr w:type="spellStart"/>
      <w:r w:rsidR="005372DB" w:rsidRPr="00A5042F">
        <w:rPr>
          <w:rFonts w:ascii="Arial" w:hAnsi="Arial" w:cs="Arial"/>
          <w:sz w:val="24"/>
          <w:szCs w:val="24"/>
        </w:rPr>
        <w:t>da</w:t>
      </w:r>
      <w:proofErr w:type="spellEnd"/>
      <w:r w:rsidR="005372DB" w:rsidRPr="00A5042F">
        <w:rPr>
          <w:rFonts w:ascii="Arial" w:hAnsi="Arial" w:cs="Arial"/>
          <w:sz w:val="24"/>
          <w:szCs w:val="24"/>
        </w:rPr>
        <w:t xml:space="preserve"> CMN </w:t>
      </w:r>
      <w:r w:rsidR="009B4083" w:rsidRPr="00A5042F">
        <w:rPr>
          <w:rFonts w:ascii="Arial" w:hAnsi="Arial" w:cs="Arial"/>
          <w:sz w:val="24"/>
          <w:szCs w:val="24"/>
        </w:rPr>
        <w:t>3922</w:t>
      </w:r>
      <w:r w:rsidR="005372DB" w:rsidRPr="00A5042F">
        <w:rPr>
          <w:rFonts w:ascii="Arial" w:hAnsi="Arial" w:cs="Arial"/>
          <w:sz w:val="24"/>
          <w:szCs w:val="24"/>
        </w:rPr>
        <w:t>/2010</w:t>
      </w:r>
      <w:r w:rsidR="008F619B">
        <w:rPr>
          <w:rFonts w:ascii="Arial" w:hAnsi="Arial" w:cs="Arial"/>
          <w:sz w:val="24"/>
          <w:szCs w:val="24"/>
        </w:rPr>
        <w:t>.</w:t>
      </w:r>
      <w:r w:rsidRPr="00DF14AF">
        <w:rPr>
          <w:rFonts w:ascii="Arial" w:hAnsi="Arial" w:cs="Arial"/>
          <w:b/>
          <w:bCs/>
          <w:sz w:val="24"/>
          <w:szCs w:val="24"/>
        </w:rPr>
        <w:t>5) Credenciamentos</w:t>
      </w:r>
      <w:r w:rsidRPr="009210FB">
        <w:rPr>
          <w:rFonts w:ascii="Arial" w:hAnsi="Arial" w:cs="Arial"/>
          <w:b/>
          <w:bCs/>
          <w:sz w:val="24"/>
          <w:szCs w:val="24"/>
        </w:rPr>
        <w:t xml:space="preserve">: </w:t>
      </w:r>
      <w:r w:rsidRPr="009210FB">
        <w:rPr>
          <w:rFonts w:ascii="Arial" w:hAnsi="Arial" w:cs="Arial"/>
          <w:sz w:val="24"/>
          <w:szCs w:val="24"/>
        </w:rPr>
        <w:t xml:space="preserve">O </w:t>
      </w:r>
      <w:r w:rsidR="00BF10E5" w:rsidRPr="009210FB">
        <w:rPr>
          <w:rFonts w:ascii="Arial" w:hAnsi="Arial" w:cs="Arial"/>
          <w:sz w:val="24"/>
          <w:szCs w:val="24"/>
        </w:rPr>
        <w:t>C</w:t>
      </w:r>
      <w:r w:rsidRPr="009210FB">
        <w:rPr>
          <w:rFonts w:ascii="Arial" w:hAnsi="Arial" w:cs="Arial"/>
          <w:sz w:val="24"/>
          <w:szCs w:val="24"/>
        </w:rPr>
        <w:t xml:space="preserve">omitê aprovou o credenciamento </w:t>
      </w:r>
      <w:r w:rsidR="007621E9">
        <w:rPr>
          <w:rFonts w:ascii="Arial" w:hAnsi="Arial" w:cs="Arial"/>
          <w:sz w:val="24"/>
          <w:szCs w:val="24"/>
        </w:rPr>
        <w:t xml:space="preserve">do </w:t>
      </w:r>
      <w:r w:rsidRPr="009210FB">
        <w:rPr>
          <w:rFonts w:ascii="Arial" w:hAnsi="Arial" w:cs="Arial"/>
          <w:sz w:val="24"/>
          <w:szCs w:val="24"/>
        </w:rPr>
        <w:t xml:space="preserve">fundo constante na tabela </w:t>
      </w:r>
      <w:r w:rsidRPr="00D0258D">
        <w:rPr>
          <w:rFonts w:ascii="Arial" w:hAnsi="Arial" w:cs="Arial"/>
          <w:sz w:val="24"/>
          <w:szCs w:val="24"/>
        </w:rPr>
        <w:t>4</w:t>
      </w:r>
      <w:r w:rsidR="00FA2B20" w:rsidRPr="00D0258D">
        <w:rPr>
          <w:rFonts w:ascii="Arial" w:hAnsi="Arial" w:cs="Arial"/>
          <w:sz w:val="24"/>
          <w:szCs w:val="24"/>
        </w:rPr>
        <w:t xml:space="preserve">. </w:t>
      </w:r>
      <w:r w:rsidRPr="00DF14AF">
        <w:rPr>
          <w:rFonts w:ascii="Arial" w:hAnsi="Arial" w:cs="Arial"/>
          <w:b/>
          <w:bCs/>
          <w:sz w:val="24"/>
          <w:szCs w:val="24"/>
        </w:rPr>
        <w:t xml:space="preserve">6) </w:t>
      </w:r>
      <w:r w:rsidR="005D2572" w:rsidRPr="00DF14AF">
        <w:rPr>
          <w:rFonts w:ascii="Arial" w:hAnsi="Arial" w:cs="Arial"/>
          <w:b/>
          <w:bCs/>
          <w:sz w:val="24"/>
          <w:szCs w:val="24"/>
        </w:rPr>
        <w:t xml:space="preserve">Análise de Fato Relevante no dia 08/07/2021 do Fundo FIP </w:t>
      </w:r>
      <w:proofErr w:type="spellStart"/>
      <w:r w:rsidR="005D2572" w:rsidRPr="00DF14AF">
        <w:rPr>
          <w:rFonts w:ascii="Arial" w:hAnsi="Arial" w:cs="Arial"/>
          <w:b/>
          <w:bCs/>
          <w:sz w:val="24"/>
          <w:szCs w:val="24"/>
        </w:rPr>
        <w:t>Multiestratégia</w:t>
      </w:r>
      <w:proofErr w:type="spellEnd"/>
      <w:r w:rsidR="005D2572" w:rsidRPr="00DF14AF">
        <w:rPr>
          <w:rFonts w:ascii="Arial" w:hAnsi="Arial" w:cs="Arial"/>
          <w:b/>
          <w:bCs/>
          <w:sz w:val="24"/>
          <w:szCs w:val="24"/>
        </w:rPr>
        <w:t xml:space="preserve"> LA Shopping Centers:</w:t>
      </w:r>
      <w:r w:rsidR="005D2572" w:rsidRPr="005D2572">
        <w:rPr>
          <w:rFonts w:ascii="Arial" w:hAnsi="Arial" w:cs="Arial"/>
          <w:sz w:val="24"/>
          <w:szCs w:val="24"/>
        </w:rPr>
        <w:t xml:space="preserve"> Realizada reunião com os representantes do Banco </w:t>
      </w:r>
      <w:proofErr w:type="spellStart"/>
      <w:r w:rsidR="005D2572" w:rsidRPr="005D2572">
        <w:rPr>
          <w:rFonts w:ascii="Arial" w:hAnsi="Arial" w:cs="Arial"/>
          <w:sz w:val="24"/>
          <w:szCs w:val="24"/>
        </w:rPr>
        <w:t>Daycoval</w:t>
      </w:r>
      <w:proofErr w:type="spellEnd"/>
      <w:r w:rsidR="005D2572" w:rsidRPr="005D2572">
        <w:rPr>
          <w:rFonts w:ascii="Arial" w:hAnsi="Arial" w:cs="Arial"/>
          <w:sz w:val="24"/>
          <w:szCs w:val="24"/>
        </w:rPr>
        <w:t>,</w:t>
      </w:r>
      <w:r w:rsidR="005D2572">
        <w:rPr>
          <w:rFonts w:ascii="Arial" w:hAnsi="Arial" w:cs="Arial"/>
          <w:sz w:val="24"/>
          <w:szCs w:val="24"/>
        </w:rPr>
        <w:t xml:space="preserve"> </w:t>
      </w:r>
      <w:r w:rsidR="005D2572" w:rsidRPr="005D2572">
        <w:rPr>
          <w:rFonts w:ascii="Arial" w:hAnsi="Arial" w:cs="Arial"/>
          <w:sz w:val="24"/>
          <w:szCs w:val="24"/>
        </w:rPr>
        <w:t xml:space="preserve">que é o Administrador responsável pelo Fundo. Os senhores Vinícius Rocha e Sérgio Brasil explanaram sobre o Fato Relevante publicado no dia 08/07/2021, onde informaram: </w:t>
      </w:r>
      <w:r w:rsidR="005D2572" w:rsidRPr="005D2572">
        <w:rPr>
          <w:rFonts w:ascii="Arial" w:hAnsi="Arial" w:cs="Arial"/>
          <w:b/>
          <w:bCs/>
          <w:sz w:val="24"/>
          <w:szCs w:val="24"/>
        </w:rPr>
        <w:t>a)</w:t>
      </w:r>
      <w:r w:rsidR="005D2572" w:rsidRPr="005D2572">
        <w:rPr>
          <w:rFonts w:ascii="Arial" w:hAnsi="Arial" w:cs="Arial"/>
          <w:sz w:val="24"/>
          <w:szCs w:val="24"/>
        </w:rPr>
        <w:t xml:space="preserve"> Contratação da empresa de Avaliação JJL – Jones Lang La</w:t>
      </w:r>
      <w:r w:rsidR="005D2572">
        <w:rPr>
          <w:rFonts w:ascii="Arial" w:hAnsi="Arial" w:cs="Arial"/>
          <w:sz w:val="24"/>
          <w:szCs w:val="24"/>
        </w:rPr>
        <w:t xml:space="preserve"> </w:t>
      </w:r>
      <w:r w:rsidR="005D2572" w:rsidRPr="005D2572">
        <w:rPr>
          <w:rFonts w:ascii="Arial" w:hAnsi="Arial" w:cs="Arial"/>
          <w:sz w:val="24"/>
          <w:szCs w:val="24"/>
        </w:rPr>
        <w:t xml:space="preserve">Salle:  foi esclarecido que o Banco </w:t>
      </w:r>
      <w:proofErr w:type="spellStart"/>
      <w:r w:rsidR="005D2572" w:rsidRPr="005D2572">
        <w:rPr>
          <w:rFonts w:ascii="Arial" w:hAnsi="Arial" w:cs="Arial"/>
          <w:sz w:val="24"/>
          <w:szCs w:val="24"/>
        </w:rPr>
        <w:t>Daycoval</w:t>
      </w:r>
      <w:proofErr w:type="spellEnd"/>
      <w:r w:rsidR="005D2572" w:rsidRPr="005D2572">
        <w:rPr>
          <w:rFonts w:ascii="Arial" w:hAnsi="Arial" w:cs="Arial"/>
          <w:sz w:val="24"/>
          <w:szCs w:val="24"/>
        </w:rPr>
        <w:t xml:space="preserve"> como Administrador do Fundo e em observância ao Art. 7º do regulamento, contratou a empresa para nova avaliação pois foi constatado uma relevante variação entre os exercícios de 2019 e 2020, sendo necessária uma </w:t>
      </w:r>
      <w:r w:rsidR="005D2572" w:rsidRPr="005D2572">
        <w:rPr>
          <w:rFonts w:ascii="Arial" w:hAnsi="Arial" w:cs="Arial"/>
          <w:sz w:val="24"/>
          <w:szCs w:val="24"/>
        </w:rPr>
        <w:t>análise</w:t>
      </w:r>
      <w:r w:rsidR="005D2572" w:rsidRPr="005D2572">
        <w:rPr>
          <w:rFonts w:ascii="Arial" w:hAnsi="Arial" w:cs="Arial"/>
          <w:sz w:val="24"/>
          <w:szCs w:val="24"/>
        </w:rPr>
        <w:t xml:space="preserve"> mais profunda das premissas e projeções utilizadas.</w:t>
      </w:r>
      <w:r w:rsidR="005D2572">
        <w:rPr>
          <w:rFonts w:ascii="Arial" w:hAnsi="Arial" w:cs="Arial"/>
          <w:sz w:val="24"/>
          <w:szCs w:val="24"/>
        </w:rPr>
        <w:t xml:space="preserve"> </w:t>
      </w:r>
      <w:r w:rsidR="005D2572" w:rsidRPr="00AA4322">
        <w:rPr>
          <w:rFonts w:ascii="Arial" w:hAnsi="Arial" w:cs="Arial"/>
          <w:b/>
          <w:bCs/>
          <w:sz w:val="24"/>
          <w:szCs w:val="24"/>
        </w:rPr>
        <w:t>b)</w:t>
      </w:r>
      <w:r w:rsidR="005D2572" w:rsidRPr="005D2572">
        <w:rPr>
          <w:rFonts w:ascii="Arial" w:hAnsi="Arial" w:cs="Arial"/>
          <w:sz w:val="24"/>
          <w:szCs w:val="24"/>
        </w:rPr>
        <w:t xml:space="preserve"> Emissão das demonstrações contábeis: foi esclarecido que as demonstrações contábeis ref. </w:t>
      </w:r>
      <w:proofErr w:type="spellStart"/>
      <w:r w:rsidR="005D2572" w:rsidRPr="005D2572">
        <w:rPr>
          <w:rFonts w:ascii="Arial" w:hAnsi="Arial" w:cs="Arial"/>
          <w:sz w:val="24"/>
          <w:szCs w:val="24"/>
        </w:rPr>
        <w:t>Ex</w:t>
      </w:r>
      <w:proofErr w:type="spellEnd"/>
      <w:r w:rsidR="005D2572" w:rsidRPr="005D2572">
        <w:rPr>
          <w:rFonts w:ascii="Arial" w:hAnsi="Arial" w:cs="Arial"/>
          <w:sz w:val="24"/>
          <w:szCs w:val="24"/>
        </w:rPr>
        <w:t xml:space="preserve"> 2020 estão no momento prejudicado pelo fato acima exposto e pela insuficiência de caixa do fundo que não permite custear as despesas decorrentes da reavaliação do ativo e dos auditores independentes de forma que as mesmas permanecerão pendentes de emissão </w:t>
      </w:r>
      <w:r w:rsidR="005D2572" w:rsidRPr="005D2572">
        <w:rPr>
          <w:rFonts w:ascii="Arial" w:hAnsi="Arial" w:cs="Arial"/>
          <w:sz w:val="24"/>
          <w:szCs w:val="24"/>
        </w:rPr>
        <w:t>até</w:t>
      </w:r>
      <w:r w:rsidR="005D2572" w:rsidRPr="005D2572">
        <w:rPr>
          <w:rFonts w:ascii="Arial" w:hAnsi="Arial" w:cs="Arial"/>
          <w:sz w:val="24"/>
          <w:szCs w:val="24"/>
        </w:rPr>
        <w:t xml:space="preserve"> que haja saldo suficiente em caixa. </w:t>
      </w:r>
      <w:r w:rsidR="005D2572" w:rsidRPr="00AA4322">
        <w:rPr>
          <w:rFonts w:ascii="Arial" w:hAnsi="Arial" w:cs="Arial"/>
          <w:b/>
          <w:bCs/>
          <w:sz w:val="24"/>
          <w:szCs w:val="24"/>
        </w:rPr>
        <w:t>c)</w:t>
      </w:r>
      <w:r w:rsidR="005D2572" w:rsidRPr="005D2572">
        <w:rPr>
          <w:rFonts w:ascii="Arial" w:hAnsi="Arial" w:cs="Arial"/>
          <w:sz w:val="24"/>
          <w:szCs w:val="24"/>
        </w:rPr>
        <w:t xml:space="preserve"> Falta de Caixa: Questionado sobre a falta de caixa o Administrador informou que vários fatos contribuíram para isso, um dos ativos do fundo o projeto Shopping Parque das Dunas não conseguiu o financiamento previsto pelo gestor, através do banco de fomento BNB, impedindo assim o andamento do projeto. Logo, o empreendimento Parque das Dunas que era para estar gerando caixa, não o está, prejudicando, portanto, a entrada de caixa do FIP.  Foi informado ainda, pelo administrador, que a 4ª emissão de cotas em 2019 realmente não ocorreu e foi ratificada em 2020, mas que a mesma não constou em ata pois era </w:t>
      </w:r>
      <w:r w:rsidR="005D2572" w:rsidRPr="005D2572">
        <w:rPr>
          <w:rFonts w:ascii="Arial" w:hAnsi="Arial" w:cs="Arial"/>
          <w:sz w:val="24"/>
          <w:szCs w:val="24"/>
        </w:rPr>
        <w:t>um assunto</w:t>
      </w:r>
      <w:r w:rsidR="005D2572" w:rsidRPr="005D2572">
        <w:rPr>
          <w:rFonts w:ascii="Arial" w:hAnsi="Arial" w:cs="Arial"/>
          <w:sz w:val="24"/>
          <w:szCs w:val="24"/>
        </w:rPr>
        <w:t xml:space="preserve"> Extra Pauta. E em verificação ao site da CVM por este comitê, foi constatado que está aberta oferta pública da 4ª emissão de cotas do FIP registrado na CVM desde dezembro de 2020. Foram sanadas outras </w:t>
      </w:r>
      <w:r w:rsidR="005D2572" w:rsidRPr="005D2572">
        <w:rPr>
          <w:rFonts w:ascii="Arial" w:hAnsi="Arial" w:cs="Arial"/>
          <w:sz w:val="24"/>
          <w:szCs w:val="24"/>
        </w:rPr>
        <w:t>dúvidas</w:t>
      </w:r>
      <w:r w:rsidR="005D2572" w:rsidRPr="005D2572">
        <w:rPr>
          <w:rFonts w:ascii="Arial" w:hAnsi="Arial" w:cs="Arial"/>
          <w:sz w:val="24"/>
          <w:szCs w:val="24"/>
        </w:rPr>
        <w:t xml:space="preserve"> pertinentes aos outros ativos do Fundo e por se tratar de assunto complexo envolvendo o Administrador e Gestor do Fundo, iremos discutir a necessidade de uma reunião conjunta entre este Comitê o Gestor e Administrador para maiores esclarecimentos. Este Comitê após discussão optou por pôr à venda as cotas do fundo supramencionado.</w:t>
      </w:r>
      <w:r w:rsidR="006E476E" w:rsidRPr="00A5042F">
        <w:rPr>
          <w:rFonts w:ascii="Arial" w:hAnsi="Arial" w:cs="Arial"/>
          <w:sz w:val="24"/>
          <w:szCs w:val="24"/>
        </w:rPr>
        <w:t xml:space="preserve"> </w:t>
      </w:r>
      <w:r w:rsidR="00056B19" w:rsidRPr="00AA4322">
        <w:rPr>
          <w:rFonts w:ascii="Arial" w:hAnsi="Arial" w:cs="Arial"/>
          <w:b/>
          <w:bCs/>
          <w:sz w:val="24"/>
          <w:szCs w:val="24"/>
        </w:rPr>
        <w:t xml:space="preserve">7) </w:t>
      </w:r>
      <w:r w:rsidRPr="00AA4322">
        <w:rPr>
          <w:rFonts w:ascii="Arial" w:hAnsi="Arial" w:cs="Arial"/>
          <w:b/>
          <w:bCs/>
          <w:sz w:val="24"/>
          <w:szCs w:val="24"/>
        </w:rPr>
        <w:t>Assuntos gerais</w:t>
      </w:r>
      <w:r w:rsidRPr="00A5042F">
        <w:rPr>
          <w:rFonts w:ascii="Arial" w:hAnsi="Arial" w:cs="Arial"/>
          <w:sz w:val="24"/>
          <w:szCs w:val="24"/>
        </w:rPr>
        <w:t>:</w:t>
      </w:r>
      <w:r w:rsidR="00916D3A" w:rsidRPr="00A5042F">
        <w:rPr>
          <w:rFonts w:ascii="Arial" w:hAnsi="Arial" w:cs="Arial"/>
          <w:sz w:val="24"/>
          <w:szCs w:val="24"/>
        </w:rPr>
        <w:t xml:space="preserve"> Não houve</w:t>
      </w:r>
      <w:r w:rsidRPr="00916D3A">
        <w:rPr>
          <w:rFonts w:ascii="Arial" w:hAnsi="Arial" w:cs="Arial"/>
          <w:sz w:val="24"/>
          <w:szCs w:val="24"/>
        </w:rPr>
        <w:t xml:space="preserve">. Para constar, eu, Fernando Antônio Gonçalves de Melo, secretário da mesa Diretora lavrei a presente Ata, que vai numerada de 01 (um) a </w:t>
      </w:r>
      <w:r w:rsidR="002502F6">
        <w:rPr>
          <w:rFonts w:ascii="Arial" w:hAnsi="Arial" w:cs="Arial"/>
          <w:sz w:val="24"/>
          <w:szCs w:val="24"/>
        </w:rPr>
        <w:t>0</w:t>
      </w:r>
      <w:r w:rsidR="00AA4322">
        <w:rPr>
          <w:rFonts w:ascii="Arial" w:hAnsi="Arial" w:cs="Arial"/>
          <w:sz w:val="24"/>
          <w:szCs w:val="24"/>
        </w:rPr>
        <w:t>9</w:t>
      </w:r>
      <w:r w:rsidR="00EC24F9" w:rsidRPr="00916D3A">
        <w:rPr>
          <w:rFonts w:ascii="Arial" w:hAnsi="Arial" w:cs="Arial"/>
          <w:sz w:val="24"/>
          <w:szCs w:val="24"/>
        </w:rPr>
        <w:t xml:space="preserve"> (</w:t>
      </w:r>
      <w:r w:rsidR="00AA4322">
        <w:rPr>
          <w:rFonts w:ascii="Arial" w:hAnsi="Arial" w:cs="Arial"/>
          <w:sz w:val="24"/>
          <w:szCs w:val="24"/>
        </w:rPr>
        <w:t>nove</w:t>
      </w:r>
      <w:r w:rsidR="00EC24F9" w:rsidRPr="00916D3A">
        <w:rPr>
          <w:rFonts w:ascii="Arial" w:hAnsi="Arial" w:cs="Arial"/>
          <w:sz w:val="24"/>
          <w:szCs w:val="24"/>
        </w:rPr>
        <w:t xml:space="preserve">) </w:t>
      </w:r>
      <w:r w:rsidRPr="00916D3A">
        <w:rPr>
          <w:rFonts w:ascii="Arial" w:hAnsi="Arial" w:cs="Arial"/>
          <w:sz w:val="24"/>
          <w:szCs w:val="24"/>
        </w:rPr>
        <w:t xml:space="preserve">laudas, que após lida e aprovada, segue assinada </w:t>
      </w:r>
      <w:r w:rsidRPr="009210FB">
        <w:rPr>
          <w:rFonts w:ascii="Arial" w:hAnsi="Arial" w:cs="Arial"/>
          <w:color w:val="000000" w:themeColor="text1"/>
          <w:sz w:val="24"/>
          <w:szCs w:val="24"/>
        </w:rPr>
        <w:t>por mim, como secretário, pela Sra. Presidente, pela gestora e pelos demais membros presentes.</w:t>
      </w:r>
    </w:p>
    <w:p w14:paraId="7358A7B5"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2B26BAD9"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color w:val="000000" w:themeColor="text1"/>
          <w:sz w:val="24"/>
          <w:szCs w:val="24"/>
        </w:rPr>
        <w:t xml:space="preserve">Guarujá, </w:t>
      </w:r>
      <w:r w:rsidR="00644B6C">
        <w:rPr>
          <w:rFonts w:ascii="Arial" w:hAnsi="Arial" w:cs="Arial"/>
          <w:color w:val="000000" w:themeColor="text1"/>
          <w:sz w:val="24"/>
          <w:szCs w:val="24"/>
        </w:rPr>
        <w:t>14</w:t>
      </w:r>
      <w:r w:rsidRPr="009210FB">
        <w:rPr>
          <w:rFonts w:ascii="Arial" w:hAnsi="Arial" w:cs="Arial"/>
          <w:color w:val="000000" w:themeColor="text1"/>
          <w:sz w:val="24"/>
          <w:szCs w:val="24"/>
        </w:rPr>
        <w:t xml:space="preserve"> de </w:t>
      </w:r>
      <w:r w:rsidR="00C01E9C" w:rsidRPr="009210FB">
        <w:rPr>
          <w:rFonts w:ascii="Arial" w:hAnsi="Arial" w:cs="Arial"/>
          <w:color w:val="000000" w:themeColor="text1"/>
          <w:sz w:val="24"/>
          <w:szCs w:val="24"/>
        </w:rPr>
        <w:t>ju</w:t>
      </w:r>
      <w:r w:rsidR="00644B6C">
        <w:rPr>
          <w:rFonts w:ascii="Arial" w:hAnsi="Arial" w:cs="Arial"/>
          <w:color w:val="000000" w:themeColor="text1"/>
          <w:sz w:val="24"/>
          <w:szCs w:val="24"/>
        </w:rPr>
        <w:t>l</w:t>
      </w:r>
      <w:r w:rsidR="00C01E9C" w:rsidRPr="009210FB">
        <w:rPr>
          <w:rFonts w:ascii="Arial" w:hAnsi="Arial" w:cs="Arial"/>
          <w:color w:val="000000" w:themeColor="text1"/>
          <w:sz w:val="24"/>
          <w:szCs w:val="24"/>
        </w:rPr>
        <w:t>ho</w:t>
      </w:r>
      <w:r w:rsidRPr="009210FB">
        <w:rPr>
          <w:rFonts w:ascii="Arial" w:hAnsi="Arial" w:cs="Arial"/>
          <w:color w:val="000000" w:themeColor="text1"/>
          <w:sz w:val="24"/>
          <w:szCs w:val="24"/>
        </w:rPr>
        <w:t xml:space="preserve"> de 2021.</w:t>
      </w:r>
    </w:p>
    <w:p w14:paraId="07DAE67C"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73C8D9BE"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7B563ECA"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color w:val="000000" w:themeColor="text1"/>
          <w:sz w:val="24"/>
          <w:szCs w:val="24"/>
        </w:rPr>
        <w:t xml:space="preserve">Laydianne Alves da Silva Gonçalves                    </w:t>
      </w:r>
      <w:proofErr w:type="spellStart"/>
      <w:r w:rsidRPr="009210FB">
        <w:rPr>
          <w:rFonts w:ascii="Arial" w:hAnsi="Arial" w:cs="Arial"/>
          <w:color w:val="000000" w:themeColor="text1"/>
          <w:sz w:val="24"/>
          <w:szCs w:val="24"/>
        </w:rPr>
        <w:t>Lucielma</w:t>
      </w:r>
      <w:proofErr w:type="spellEnd"/>
      <w:r w:rsidRPr="009210FB">
        <w:rPr>
          <w:rFonts w:ascii="Arial" w:hAnsi="Arial" w:cs="Arial"/>
          <w:color w:val="000000" w:themeColor="text1"/>
          <w:sz w:val="24"/>
          <w:szCs w:val="24"/>
        </w:rPr>
        <w:t xml:space="preserve"> Ferreira Feitosa</w:t>
      </w:r>
    </w:p>
    <w:p w14:paraId="36B3B376"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b/>
          <w:bCs/>
          <w:color w:val="000000" w:themeColor="text1"/>
          <w:sz w:val="24"/>
          <w:szCs w:val="24"/>
        </w:rPr>
        <w:t>Presidente Comitê Investimentos                        Responsável Técnico</w:t>
      </w:r>
    </w:p>
    <w:p w14:paraId="26F874E2" w14:textId="77777777" w:rsidR="00ED240C" w:rsidRPr="009210FB" w:rsidRDefault="00ED240C" w:rsidP="00ED240C">
      <w:pPr>
        <w:pStyle w:val="Estilopadro"/>
        <w:spacing w:line="360" w:lineRule="auto"/>
        <w:jc w:val="both"/>
        <w:rPr>
          <w:rFonts w:ascii="Arial" w:hAnsi="Arial" w:cs="Arial"/>
          <w:color w:val="000000" w:themeColor="text1"/>
          <w:sz w:val="24"/>
          <w:szCs w:val="24"/>
        </w:rPr>
      </w:pPr>
    </w:p>
    <w:p w14:paraId="24A8D2BA"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7BA8EE20"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color w:val="000000" w:themeColor="text1"/>
          <w:sz w:val="24"/>
          <w:szCs w:val="24"/>
        </w:rPr>
        <w:t>Fernando A. G. de Melo                                        Aline Borges de Carvalho</w:t>
      </w:r>
    </w:p>
    <w:p w14:paraId="1AC4498C"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bookmarkStart w:id="2" w:name="_Hlk25049079"/>
      <w:bookmarkEnd w:id="2"/>
      <w:r w:rsidRPr="009210FB">
        <w:rPr>
          <w:rFonts w:ascii="Arial" w:hAnsi="Arial" w:cs="Arial"/>
          <w:b/>
          <w:bCs/>
          <w:color w:val="000000" w:themeColor="text1"/>
          <w:sz w:val="24"/>
          <w:szCs w:val="24"/>
        </w:rPr>
        <w:t>Secretário do Comitê                                          Vice-Secretária</w:t>
      </w:r>
    </w:p>
    <w:p w14:paraId="77464684"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5E0C1ACE"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116D3D8F"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p>
    <w:p w14:paraId="26DF5FEE"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color w:val="000000" w:themeColor="text1"/>
          <w:sz w:val="24"/>
          <w:szCs w:val="24"/>
        </w:rPr>
        <w:t>Fábio Enrique Camilo José Esteves</w:t>
      </w:r>
    </w:p>
    <w:p w14:paraId="62700427" w14:textId="77777777" w:rsidR="00AB1E29" w:rsidRPr="009210FB" w:rsidRDefault="00ED240C" w:rsidP="00ED551F">
      <w:pPr>
        <w:pStyle w:val="Estilopadro"/>
        <w:spacing w:after="0" w:line="360" w:lineRule="auto"/>
        <w:rPr>
          <w:rFonts w:ascii="Arial" w:hAnsi="Arial" w:cs="Arial"/>
          <w:b/>
          <w:bCs/>
          <w:color w:val="000000" w:themeColor="text1"/>
          <w:sz w:val="24"/>
          <w:szCs w:val="24"/>
        </w:rPr>
        <w:sectPr w:rsidR="00AB1E29" w:rsidRPr="009210FB" w:rsidSect="00AB1E29">
          <w:headerReference w:type="default" r:id="rId8"/>
          <w:footerReference w:type="default" r:id="rId9"/>
          <w:pgSz w:w="11906" w:h="16838"/>
          <w:pgMar w:top="690" w:right="1701" w:bottom="851" w:left="1701" w:header="284" w:footer="446" w:gutter="0"/>
          <w:cols w:space="720"/>
          <w:formProt w:val="0"/>
          <w:docGrid w:linePitch="360" w:charSpace="8192"/>
        </w:sectPr>
      </w:pPr>
      <w:r w:rsidRPr="009210FB">
        <w:rPr>
          <w:rFonts w:ascii="Arial" w:hAnsi="Arial" w:cs="Arial"/>
          <w:b/>
          <w:bCs/>
          <w:color w:val="000000" w:themeColor="text1"/>
          <w:sz w:val="24"/>
          <w:szCs w:val="24"/>
        </w:rPr>
        <w:t>Membro do Comitê</w:t>
      </w:r>
    </w:p>
    <w:p w14:paraId="7E5C2C13"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b/>
          <w:color w:val="000000" w:themeColor="text1"/>
          <w:sz w:val="24"/>
          <w:szCs w:val="24"/>
        </w:rPr>
        <w:t>ANEXOS</w:t>
      </w:r>
    </w:p>
    <w:p w14:paraId="3113C1ED" w14:textId="77777777" w:rsidR="00ED240C" w:rsidRPr="009210FB" w:rsidRDefault="00ED240C" w:rsidP="00ED240C">
      <w:pPr>
        <w:pStyle w:val="Estilopadro"/>
        <w:spacing w:after="0" w:line="360" w:lineRule="auto"/>
        <w:jc w:val="both"/>
        <w:rPr>
          <w:rFonts w:ascii="Arial" w:hAnsi="Arial" w:cs="Arial"/>
          <w:b/>
          <w:bCs/>
          <w:color w:val="000000" w:themeColor="text1"/>
          <w:sz w:val="24"/>
          <w:szCs w:val="24"/>
        </w:rPr>
      </w:pPr>
      <w:r w:rsidRPr="009210FB">
        <w:rPr>
          <w:rFonts w:ascii="Arial" w:hAnsi="Arial" w:cs="Arial"/>
          <w:b/>
          <w:bCs/>
          <w:color w:val="000000" w:themeColor="text1"/>
          <w:sz w:val="24"/>
          <w:szCs w:val="24"/>
        </w:rPr>
        <w:t>Tabela 01: Repasses:</w:t>
      </w:r>
    </w:p>
    <w:tbl>
      <w:tblPr>
        <w:tblW w:w="10890" w:type="dxa"/>
        <w:tblInd w:w="-781" w:type="dxa"/>
        <w:tblCellMar>
          <w:left w:w="70" w:type="dxa"/>
          <w:right w:w="70" w:type="dxa"/>
        </w:tblCellMar>
        <w:tblLook w:val="04A0" w:firstRow="1" w:lastRow="0" w:firstColumn="1" w:lastColumn="0" w:noHBand="0" w:noVBand="1"/>
      </w:tblPr>
      <w:tblGrid>
        <w:gridCol w:w="3686"/>
        <w:gridCol w:w="1843"/>
        <w:gridCol w:w="1985"/>
        <w:gridCol w:w="1701"/>
        <w:gridCol w:w="1675"/>
      </w:tblGrid>
      <w:tr w:rsidR="00C35B4A" w:rsidRPr="00C35B4A" w14:paraId="4279C9EF" w14:textId="77777777" w:rsidTr="00BA75EC">
        <w:trPr>
          <w:trHeight w:val="540"/>
        </w:trPr>
        <w:tc>
          <w:tcPr>
            <w:tcW w:w="10890" w:type="dxa"/>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E035FA9"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1 - TRANFERENCIAS ADMINISTRATIVAS</w:t>
            </w:r>
          </w:p>
        </w:tc>
      </w:tr>
      <w:tr w:rsidR="00C35B4A" w:rsidRPr="00C35B4A" w14:paraId="4B3BD176" w14:textId="77777777" w:rsidTr="00BA75EC">
        <w:trPr>
          <w:trHeight w:val="540"/>
        </w:trPr>
        <w:tc>
          <w:tcPr>
            <w:tcW w:w="552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44B31C" w14:textId="77777777" w:rsidR="00C35B4A" w:rsidRPr="00C35B4A" w:rsidRDefault="00C35B4A" w:rsidP="00C35B4A">
            <w:pPr>
              <w:spacing w:after="0" w:line="240" w:lineRule="auto"/>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FUNDOS / BANCOS</w:t>
            </w:r>
          </w:p>
        </w:tc>
        <w:tc>
          <w:tcPr>
            <w:tcW w:w="1985" w:type="dxa"/>
            <w:tcBorders>
              <w:top w:val="nil"/>
              <w:left w:val="nil"/>
              <w:bottom w:val="single" w:sz="4" w:space="0" w:color="auto"/>
              <w:right w:val="single" w:sz="4" w:space="0" w:color="auto"/>
            </w:tcBorders>
            <w:shd w:val="clear" w:color="000000" w:fill="FFFFFF"/>
            <w:vAlign w:val="center"/>
            <w:hideMark/>
          </w:tcPr>
          <w:p w14:paraId="4798187B"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 FINANCEIRO</w:t>
            </w:r>
          </w:p>
        </w:tc>
        <w:tc>
          <w:tcPr>
            <w:tcW w:w="1701" w:type="dxa"/>
            <w:tcBorders>
              <w:top w:val="nil"/>
              <w:left w:val="nil"/>
              <w:bottom w:val="single" w:sz="4" w:space="0" w:color="auto"/>
              <w:right w:val="single" w:sz="4" w:space="0" w:color="auto"/>
            </w:tcBorders>
            <w:shd w:val="clear" w:color="000000" w:fill="FFFFFF"/>
            <w:vAlign w:val="center"/>
            <w:hideMark/>
          </w:tcPr>
          <w:p w14:paraId="30F00252"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 PREVIDENCIARIO</w:t>
            </w:r>
          </w:p>
        </w:tc>
        <w:tc>
          <w:tcPr>
            <w:tcW w:w="1675" w:type="dxa"/>
            <w:tcBorders>
              <w:top w:val="nil"/>
              <w:left w:val="nil"/>
              <w:bottom w:val="single" w:sz="4" w:space="0" w:color="auto"/>
              <w:right w:val="single" w:sz="4" w:space="0" w:color="auto"/>
            </w:tcBorders>
            <w:shd w:val="clear" w:color="000000" w:fill="FFFFFF"/>
            <w:noWrap/>
            <w:vAlign w:val="center"/>
            <w:hideMark/>
          </w:tcPr>
          <w:p w14:paraId="0295E340"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TOTAL </w:t>
            </w:r>
          </w:p>
        </w:tc>
      </w:tr>
      <w:tr w:rsidR="00C35B4A" w:rsidRPr="00C35B4A" w14:paraId="24C5F6CE" w14:textId="77777777" w:rsidTr="00BA75EC">
        <w:trPr>
          <w:trHeight w:val="540"/>
        </w:trPr>
        <w:tc>
          <w:tcPr>
            <w:tcW w:w="552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DF7316" w14:textId="77777777" w:rsidR="00C35B4A" w:rsidRPr="00C35B4A" w:rsidRDefault="00C35B4A" w:rsidP="00C35B4A">
            <w:pPr>
              <w:spacing w:after="0" w:line="240" w:lineRule="auto"/>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REPASSE</w:t>
            </w:r>
          </w:p>
        </w:tc>
        <w:tc>
          <w:tcPr>
            <w:tcW w:w="1985" w:type="dxa"/>
            <w:tcBorders>
              <w:top w:val="nil"/>
              <w:left w:val="nil"/>
              <w:bottom w:val="single" w:sz="4" w:space="0" w:color="auto"/>
              <w:right w:val="single" w:sz="4" w:space="0" w:color="auto"/>
            </w:tcBorders>
            <w:shd w:val="clear" w:color="000000" w:fill="FFFFFF"/>
            <w:noWrap/>
            <w:vAlign w:val="center"/>
            <w:hideMark/>
          </w:tcPr>
          <w:p w14:paraId="274EEDF5"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5.374.374,87 </w:t>
            </w:r>
          </w:p>
        </w:tc>
        <w:tc>
          <w:tcPr>
            <w:tcW w:w="1701" w:type="dxa"/>
            <w:tcBorders>
              <w:top w:val="nil"/>
              <w:left w:val="nil"/>
              <w:bottom w:val="single" w:sz="4" w:space="0" w:color="auto"/>
              <w:right w:val="single" w:sz="4" w:space="0" w:color="auto"/>
            </w:tcBorders>
            <w:shd w:val="clear" w:color="000000" w:fill="FFFFFF"/>
            <w:noWrap/>
            <w:vAlign w:val="center"/>
            <w:hideMark/>
          </w:tcPr>
          <w:p w14:paraId="1A0B971D"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4.271.356,30 </w:t>
            </w:r>
          </w:p>
        </w:tc>
        <w:tc>
          <w:tcPr>
            <w:tcW w:w="1675" w:type="dxa"/>
            <w:tcBorders>
              <w:top w:val="nil"/>
              <w:left w:val="nil"/>
              <w:bottom w:val="single" w:sz="4" w:space="0" w:color="auto"/>
              <w:right w:val="single" w:sz="4" w:space="0" w:color="auto"/>
            </w:tcBorders>
            <w:shd w:val="clear" w:color="000000" w:fill="FFFFFF"/>
            <w:noWrap/>
            <w:vAlign w:val="center"/>
            <w:hideMark/>
          </w:tcPr>
          <w:p w14:paraId="49B0F579"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9.645.731,17 </w:t>
            </w:r>
          </w:p>
        </w:tc>
      </w:tr>
      <w:tr w:rsidR="00C35B4A" w:rsidRPr="00C35B4A" w14:paraId="4CFFFC5A" w14:textId="77777777" w:rsidTr="00BA75EC">
        <w:trPr>
          <w:trHeight w:val="540"/>
        </w:trPr>
        <w:tc>
          <w:tcPr>
            <w:tcW w:w="552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99FA20" w14:textId="77777777" w:rsidR="00C35B4A" w:rsidRPr="00C35B4A" w:rsidRDefault="00C35B4A" w:rsidP="00C35B4A">
            <w:pPr>
              <w:spacing w:after="0" w:line="240" w:lineRule="auto"/>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FOLHA PAGAMENTO SANTANDER</w:t>
            </w:r>
          </w:p>
        </w:tc>
        <w:tc>
          <w:tcPr>
            <w:tcW w:w="1985" w:type="dxa"/>
            <w:tcBorders>
              <w:top w:val="nil"/>
              <w:left w:val="nil"/>
              <w:bottom w:val="single" w:sz="4" w:space="0" w:color="auto"/>
              <w:right w:val="single" w:sz="4" w:space="0" w:color="auto"/>
            </w:tcBorders>
            <w:shd w:val="clear" w:color="000000" w:fill="FFFFFF"/>
            <w:noWrap/>
            <w:vAlign w:val="center"/>
            <w:hideMark/>
          </w:tcPr>
          <w:p w14:paraId="031D8DCC"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1.800.000,00 </w:t>
            </w:r>
          </w:p>
        </w:tc>
        <w:tc>
          <w:tcPr>
            <w:tcW w:w="1701" w:type="dxa"/>
            <w:tcBorders>
              <w:top w:val="nil"/>
              <w:left w:val="nil"/>
              <w:bottom w:val="single" w:sz="4" w:space="0" w:color="auto"/>
              <w:right w:val="single" w:sz="4" w:space="0" w:color="auto"/>
            </w:tcBorders>
            <w:shd w:val="clear" w:color="000000" w:fill="FFFFFF"/>
            <w:noWrap/>
            <w:vAlign w:val="center"/>
            <w:hideMark/>
          </w:tcPr>
          <w:p w14:paraId="1FD57B5E"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270.000,00 </w:t>
            </w:r>
          </w:p>
        </w:tc>
        <w:tc>
          <w:tcPr>
            <w:tcW w:w="1675" w:type="dxa"/>
            <w:tcBorders>
              <w:top w:val="nil"/>
              <w:left w:val="nil"/>
              <w:bottom w:val="single" w:sz="4" w:space="0" w:color="auto"/>
              <w:right w:val="single" w:sz="4" w:space="0" w:color="auto"/>
            </w:tcBorders>
            <w:shd w:val="clear" w:color="000000" w:fill="FFFFFF"/>
            <w:noWrap/>
            <w:vAlign w:val="center"/>
            <w:hideMark/>
          </w:tcPr>
          <w:p w14:paraId="5BEA77BA"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2.070.000,00 </w:t>
            </w:r>
          </w:p>
        </w:tc>
      </w:tr>
      <w:tr w:rsidR="00C35B4A" w:rsidRPr="00C35B4A" w14:paraId="60840A4B" w14:textId="77777777" w:rsidTr="00BA75EC">
        <w:trPr>
          <w:trHeight w:val="540"/>
        </w:trPr>
        <w:tc>
          <w:tcPr>
            <w:tcW w:w="5529"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380E41C" w14:textId="77777777" w:rsidR="00C35B4A" w:rsidRPr="00C35B4A" w:rsidRDefault="00C35B4A" w:rsidP="00C35B4A">
            <w:pPr>
              <w:spacing w:after="0" w:line="240" w:lineRule="auto"/>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SUB TOTAL (1)</w:t>
            </w:r>
          </w:p>
        </w:tc>
        <w:tc>
          <w:tcPr>
            <w:tcW w:w="1985" w:type="dxa"/>
            <w:tcBorders>
              <w:top w:val="nil"/>
              <w:left w:val="nil"/>
              <w:bottom w:val="single" w:sz="4" w:space="0" w:color="auto"/>
              <w:right w:val="single" w:sz="4" w:space="0" w:color="auto"/>
            </w:tcBorders>
            <w:shd w:val="clear" w:color="000000" w:fill="D9D9D9"/>
            <w:noWrap/>
            <w:vAlign w:val="center"/>
            <w:hideMark/>
          </w:tcPr>
          <w:p w14:paraId="52BBD0BA"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3.574.374,87 </w:t>
            </w:r>
          </w:p>
        </w:tc>
        <w:tc>
          <w:tcPr>
            <w:tcW w:w="1701" w:type="dxa"/>
            <w:tcBorders>
              <w:top w:val="nil"/>
              <w:left w:val="nil"/>
              <w:bottom w:val="single" w:sz="4" w:space="0" w:color="auto"/>
              <w:right w:val="single" w:sz="4" w:space="0" w:color="auto"/>
            </w:tcBorders>
            <w:shd w:val="clear" w:color="000000" w:fill="D9D9D9"/>
            <w:noWrap/>
            <w:vAlign w:val="center"/>
            <w:hideMark/>
          </w:tcPr>
          <w:p w14:paraId="0A433F26"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4.001.356,30 </w:t>
            </w:r>
          </w:p>
        </w:tc>
        <w:tc>
          <w:tcPr>
            <w:tcW w:w="1675" w:type="dxa"/>
            <w:tcBorders>
              <w:top w:val="nil"/>
              <w:left w:val="nil"/>
              <w:bottom w:val="single" w:sz="4" w:space="0" w:color="auto"/>
              <w:right w:val="single" w:sz="4" w:space="0" w:color="auto"/>
            </w:tcBorders>
            <w:shd w:val="clear" w:color="000000" w:fill="D9D9D9"/>
            <w:noWrap/>
            <w:vAlign w:val="center"/>
            <w:hideMark/>
          </w:tcPr>
          <w:p w14:paraId="50DA4489"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7.575.731,17 </w:t>
            </w:r>
          </w:p>
        </w:tc>
      </w:tr>
      <w:tr w:rsidR="00C35B4A" w:rsidRPr="00C35B4A" w14:paraId="41593ADE" w14:textId="77777777" w:rsidTr="00BA75EC">
        <w:trPr>
          <w:trHeight w:val="540"/>
        </w:trPr>
        <w:tc>
          <w:tcPr>
            <w:tcW w:w="10890" w:type="dxa"/>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48BC6DF"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2 -  RESGATES</w:t>
            </w:r>
          </w:p>
        </w:tc>
      </w:tr>
      <w:tr w:rsidR="00C35B4A" w:rsidRPr="00C35B4A" w14:paraId="1BC87010" w14:textId="77777777" w:rsidTr="00BA75EC">
        <w:trPr>
          <w:trHeight w:val="5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17343908"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FUNDOS / BANCOS</w:t>
            </w:r>
          </w:p>
        </w:tc>
        <w:tc>
          <w:tcPr>
            <w:tcW w:w="1843" w:type="dxa"/>
            <w:tcBorders>
              <w:top w:val="nil"/>
              <w:left w:val="nil"/>
              <w:bottom w:val="single" w:sz="4" w:space="0" w:color="auto"/>
              <w:right w:val="single" w:sz="4" w:space="0" w:color="auto"/>
            </w:tcBorders>
            <w:shd w:val="clear" w:color="000000" w:fill="FFFFFF"/>
            <w:noWrap/>
            <w:vAlign w:val="center"/>
            <w:hideMark/>
          </w:tcPr>
          <w:p w14:paraId="497CAE57"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CNPJ</w:t>
            </w:r>
          </w:p>
        </w:tc>
        <w:tc>
          <w:tcPr>
            <w:tcW w:w="1985" w:type="dxa"/>
            <w:tcBorders>
              <w:top w:val="nil"/>
              <w:left w:val="nil"/>
              <w:bottom w:val="single" w:sz="4" w:space="0" w:color="auto"/>
              <w:right w:val="single" w:sz="4" w:space="0" w:color="auto"/>
            </w:tcBorders>
            <w:shd w:val="clear" w:color="000000" w:fill="FFFFFF"/>
            <w:vAlign w:val="center"/>
            <w:hideMark/>
          </w:tcPr>
          <w:p w14:paraId="4F390F8E"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 FINANCEIRO</w:t>
            </w:r>
          </w:p>
        </w:tc>
        <w:tc>
          <w:tcPr>
            <w:tcW w:w="1701" w:type="dxa"/>
            <w:tcBorders>
              <w:top w:val="nil"/>
              <w:left w:val="nil"/>
              <w:bottom w:val="single" w:sz="4" w:space="0" w:color="auto"/>
              <w:right w:val="single" w:sz="4" w:space="0" w:color="auto"/>
            </w:tcBorders>
            <w:shd w:val="clear" w:color="000000" w:fill="FFFFFF"/>
            <w:vAlign w:val="center"/>
            <w:hideMark/>
          </w:tcPr>
          <w:p w14:paraId="5B168D28"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 PREVIDENCIARIO</w:t>
            </w:r>
          </w:p>
        </w:tc>
        <w:tc>
          <w:tcPr>
            <w:tcW w:w="1675" w:type="dxa"/>
            <w:tcBorders>
              <w:top w:val="nil"/>
              <w:left w:val="nil"/>
              <w:bottom w:val="single" w:sz="4" w:space="0" w:color="auto"/>
              <w:right w:val="single" w:sz="4" w:space="0" w:color="auto"/>
            </w:tcBorders>
            <w:shd w:val="clear" w:color="000000" w:fill="FFFFFF"/>
            <w:noWrap/>
            <w:vAlign w:val="center"/>
            <w:hideMark/>
          </w:tcPr>
          <w:p w14:paraId="0B3217D1"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TOTAL </w:t>
            </w:r>
          </w:p>
        </w:tc>
      </w:tr>
      <w:tr w:rsidR="00C35B4A" w:rsidRPr="00C35B4A" w14:paraId="5CC4A2FD" w14:textId="77777777" w:rsidTr="00BA75EC">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7FE60F" w14:textId="77777777" w:rsidR="00C35B4A" w:rsidRPr="00C35B4A" w:rsidRDefault="00C35B4A" w:rsidP="00C35B4A">
            <w:pPr>
              <w:spacing w:after="0" w:line="240" w:lineRule="auto"/>
              <w:rPr>
                <w:rFonts w:ascii="Arial Narrow" w:eastAsia="Times New Roman" w:hAnsi="Arial Narrow" w:cs="Calibri"/>
                <w:color w:val="212529"/>
                <w:sz w:val="20"/>
                <w:szCs w:val="20"/>
              </w:rPr>
            </w:pPr>
            <w:r w:rsidRPr="00C35B4A">
              <w:rPr>
                <w:rFonts w:ascii="Arial Narrow" w:eastAsia="Times New Roman" w:hAnsi="Arial Narrow" w:cs="Calibri"/>
                <w:color w:val="212529"/>
                <w:sz w:val="20"/>
                <w:szCs w:val="20"/>
              </w:rPr>
              <w:t>SAFRA S P REAIS PB FI MULTIMERCADO</w:t>
            </w:r>
          </w:p>
        </w:tc>
        <w:tc>
          <w:tcPr>
            <w:tcW w:w="1843" w:type="dxa"/>
            <w:tcBorders>
              <w:top w:val="nil"/>
              <w:left w:val="nil"/>
              <w:bottom w:val="single" w:sz="4" w:space="0" w:color="auto"/>
              <w:right w:val="single" w:sz="4" w:space="0" w:color="auto"/>
            </w:tcBorders>
            <w:shd w:val="clear" w:color="auto" w:fill="auto"/>
            <w:vAlign w:val="center"/>
            <w:hideMark/>
          </w:tcPr>
          <w:p w14:paraId="0CA9BBE6" w14:textId="77777777" w:rsidR="00C35B4A" w:rsidRPr="00C35B4A" w:rsidRDefault="00C35B4A" w:rsidP="00C35B4A">
            <w:pPr>
              <w:spacing w:after="0" w:line="240" w:lineRule="auto"/>
              <w:jc w:val="center"/>
              <w:rPr>
                <w:rFonts w:ascii="Arial Narrow" w:eastAsia="Times New Roman" w:hAnsi="Arial Narrow" w:cs="Calibri"/>
                <w:color w:val="212529"/>
                <w:sz w:val="20"/>
                <w:szCs w:val="20"/>
              </w:rPr>
            </w:pPr>
            <w:r w:rsidRPr="00C35B4A">
              <w:rPr>
                <w:rFonts w:ascii="Arial Narrow" w:eastAsia="Times New Roman" w:hAnsi="Arial Narrow" w:cs="Calibri"/>
                <w:color w:val="212529"/>
                <w:sz w:val="20"/>
                <w:szCs w:val="20"/>
              </w:rPr>
              <w:t>21.595.829/0001-54</w:t>
            </w:r>
          </w:p>
        </w:tc>
        <w:tc>
          <w:tcPr>
            <w:tcW w:w="1985" w:type="dxa"/>
            <w:tcBorders>
              <w:top w:val="nil"/>
              <w:left w:val="nil"/>
              <w:bottom w:val="single" w:sz="4" w:space="0" w:color="auto"/>
              <w:right w:val="single" w:sz="4" w:space="0" w:color="auto"/>
            </w:tcBorders>
            <w:shd w:val="clear" w:color="auto" w:fill="auto"/>
            <w:noWrap/>
            <w:vAlign w:val="center"/>
            <w:hideMark/>
          </w:tcPr>
          <w:p w14:paraId="669A1023"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F6A07A6"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5.000.000,00 </w:t>
            </w:r>
          </w:p>
        </w:tc>
        <w:tc>
          <w:tcPr>
            <w:tcW w:w="1675" w:type="dxa"/>
            <w:tcBorders>
              <w:top w:val="nil"/>
              <w:left w:val="nil"/>
              <w:bottom w:val="single" w:sz="4" w:space="0" w:color="auto"/>
              <w:right w:val="single" w:sz="4" w:space="0" w:color="auto"/>
            </w:tcBorders>
            <w:shd w:val="clear" w:color="auto" w:fill="auto"/>
            <w:noWrap/>
            <w:vAlign w:val="center"/>
            <w:hideMark/>
          </w:tcPr>
          <w:p w14:paraId="61B44B96"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5.000.000,00 </w:t>
            </w:r>
          </w:p>
        </w:tc>
      </w:tr>
      <w:tr w:rsidR="00C35B4A" w:rsidRPr="00C35B4A" w14:paraId="4C5A39EC" w14:textId="77777777" w:rsidTr="00BA75EC">
        <w:trPr>
          <w:trHeight w:val="540"/>
        </w:trPr>
        <w:tc>
          <w:tcPr>
            <w:tcW w:w="5529"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EADBA85" w14:textId="77777777" w:rsidR="00C35B4A" w:rsidRPr="00C35B4A" w:rsidRDefault="00C35B4A" w:rsidP="00C35B4A">
            <w:pPr>
              <w:spacing w:after="0" w:line="240" w:lineRule="auto"/>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TOTAL DOS RESGATES</w:t>
            </w:r>
          </w:p>
        </w:tc>
        <w:tc>
          <w:tcPr>
            <w:tcW w:w="1985" w:type="dxa"/>
            <w:tcBorders>
              <w:top w:val="nil"/>
              <w:left w:val="nil"/>
              <w:bottom w:val="nil"/>
              <w:right w:val="single" w:sz="4" w:space="0" w:color="auto"/>
            </w:tcBorders>
            <w:shd w:val="clear" w:color="000000" w:fill="D9D9D9"/>
            <w:noWrap/>
            <w:vAlign w:val="center"/>
            <w:hideMark/>
          </w:tcPr>
          <w:p w14:paraId="69D96EC2"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   </w:t>
            </w:r>
          </w:p>
        </w:tc>
        <w:tc>
          <w:tcPr>
            <w:tcW w:w="1701" w:type="dxa"/>
            <w:tcBorders>
              <w:top w:val="nil"/>
              <w:left w:val="nil"/>
              <w:bottom w:val="nil"/>
              <w:right w:val="single" w:sz="4" w:space="0" w:color="auto"/>
            </w:tcBorders>
            <w:shd w:val="clear" w:color="000000" w:fill="D9D9D9"/>
            <w:noWrap/>
            <w:vAlign w:val="center"/>
            <w:hideMark/>
          </w:tcPr>
          <w:p w14:paraId="557AFECA"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5.000.000,00 </w:t>
            </w:r>
          </w:p>
        </w:tc>
        <w:tc>
          <w:tcPr>
            <w:tcW w:w="1675" w:type="dxa"/>
            <w:tcBorders>
              <w:top w:val="nil"/>
              <w:left w:val="nil"/>
              <w:bottom w:val="nil"/>
              <w:right w:val="single" w:sz="4" w:space="0" w:color="auto"/>
            </w:tcBorders>
            <w:shd w:val="clear" w:color="000000" w:fill="D9D9D9"/>
            <w:noWrap/>
            <w:vAlign w:val="center"/>
            <w:hideMark/>
          </w:tcPr>
          <w:p w14:paraId="6A8D5DF4"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5.000.000,00 </w:t>
            </w:r>
          </w:p>
        </w:tc>
      </w:tr>
      <w:tr w:rsidR="00C35B4A" w:rsidRPr="00C35B4A" w14:paraId="3C155A0C" w14:textId="77777777" w:rsidTr="00BA75EC">
        <w:trPr>
          <w:trHeight w:val="540"/>
        </w:trPr>
        <w:tc>
          <w:tcPr>
            <w:tcW w:w="108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6CFC3C"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3 - APLICAÇÕES</w:t>
            </w:r>
          </w:p>
        </w:tc>
      </w:tr>
      <w:tr w:rsidR="00C35B4A" w:rsidRPr="00C35B4A" w14:paraId="082D1F66" w14:textId="77777777" w:rsidTr="00BA75EC">
        <w:trPr>
          <w:trHeight w:val="54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1A2C4671"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FUNDOS / BANCOS</w:t>
            </w:r>
          </w:p>
        </w:tc>
        <w:tc>
          <w:tcPr>
            <w:tcW w:w="1843" w:type="dxa"/>
            <w:tcBorders>
              <w:top w:val="nil"/>
              <w:left w:val="nil"/>
              <w:bottom w:val="single" w:sz="4" w:space="0" w:color="auto"/>
              <w:right w:val="single" w:sz="4" w:space="0" w:color="auto"/>
            </w:tcBorders>
            <w:shd w:val="clear" w:color="000000" w:fill="FFFFFF"/>
            <w:noWrap/>
            <w:vAlign w:val="center"/>
            <w:hideMark/>
          </w:tcPr>
          <w:p w14:paraId="2F972CDA"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CNPJ</w:t>
            </w:r>
          </w:p>
        </w:tc>
        <w:tc>
          <w:tcPr>
            <w:tcW w:w="1985" w:type="dxa"/>
            <w:tcBorders>
              <w:top w:val="nil"/>
              <w:left w:val="nil"/>
              <w:bottom w:val="single" w:sz="4" w:space="0" w:color="auto"/>
              <w:right w:val="single" w:sz="4" w:space="0" w:color="auto"/>
            </w:tcBorders>
            <w:shd w:val="clear" w:color="000000" w:fill="FFFFFF"/>
            <w:vAlign w:val="center"/>
            <w:hideMark/>
          </w:tcPr>
          <w:p w14:paraId="55A06BD4"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 FINANCEIRO</w:t>
            </w:r>
          </w:p>
        </w:tc>
        <w:tc>
          <w:tcPr>
            <w:tcW w:w="1701" w:type="dxa"/>
            <w:tcBorders>
              <w:top w:val="nil"/>
              <w:left w:val="nil"/>
              <w:bottom w:val="single" w:sz="4" w:space="0" w:color="auto"/>
              <w:right w:val="single" w:sz="4" w:space="0" w:color="auto"/>
            </w:tcBorders>
            <w:shd w:val="clear" w:color="000000" w:fill="FFFFFF"/>
            <w:vAlign w:val="center"/>
            <w:hideMark/>
          </w:tcPr>
          <w:p w14:paraId="06558C8B"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FUNDO PREVIDENCIARIO</w:t>
            </w:r>
          </w:p>
        </w:tc>
        <w:tc>
          <w:tcPr>
            <w:tcW w:w="1675" w:type="dxa"/>
            <w:tcBorders>
              <w:top w:val="nil"/>
              <w:left w:val="nil"/>
              <w:bottom w:val="single" w:sz="4" w:space="0" w:color="auto"/>
              <w:right w:val="single" w:sz="4" w:space="0" w:color="auto"/>
            </w:tcBorders>
            <w:shd w:val="clear" w:color="000000" w:fill="FFFFFF"/>
            <w:noWrap/>
            <w:vAlign w:val="center"/>
            <w:hideMark/>
          </w:tcPr>
          <w:p w14:paraId="1AFD72E3"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TOTAL </w:t>
            </w:r>
          </w:p>
        </w:tc>
      </w:tr>
      <w:tr w:rsidR="00C35B4A" w:rsidRPr="00C35B4A" w14:paraId="55CF774F" w14:textId="77777777" w:rsidTr="00BA75EC">
        <w:trPr>
          <w:trHeight w:val="5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61A309F" w14:textId="77777777" w:rsidR="00C35B4A" w:rsidRPr="00C35B4A" w:rsidRDefault="00C35B4A" w:rsidP="00C35B4A">
            <w:pPr>
              <w:spacing w:after="0" w:line="240" w:lineRule="auto"/>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BTG Pactual S&amp;P 500 BRL FIM</w:t>
            </w:r>
          </w:p>
        </w:tc>
        <w:tc>
          <w:tcPr>
            <w:tcW w:w="1843" w:type="dxa"/>
            <w:tcBorders>
              <w:top w:val="nil"/>
              <w:left w:val="nil"/>
              <w:bottom w:val="single" w:sz="4" w:space="0" w:color="auto"/>
              <w:right w:val="single" w:sz="4" w:space="0" w:color="auto"/>
            </w:tcBorders>
            <w:shd w:val="clear" w:color="auto" w:fill="auto"/>
            <w:noWrap/>
            <w:vAlign w:val="center"/>
            <w:hideMark/>
          </w:tcPr>
          <w:p w14:paraId="75C80FD0"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36.499.594/0001-74</w:t>
            </w:r>
          </w:p>
        </w:tc>
        <w:tc>
          <w:tcPr>
            <w:tcW w:w="1985" w:type="dxa"/>
            <w:tcBorders>
              <w:top w:val="nil"/>
              <w:left w:val="nil"/>
              <w:bottom w:val="single" w:sz="4" w:space="0" w:color="auto"/>
              <w:right w:val="single" w:sz="4" w:space="0" w:color="auto"/>
            </w:tcBorders>
            <w:shd w:val="clear" w:color="000000" w:fill="FFFFFF"/>
            <w:vAlign w:val="center"/>
            <w:hideMark/>
          </w:tcPr>
          <w:p w14:paraId="1713866A"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   </w:t>
            </w:r>
          </w:p>
        </w:tc>
        <w:tc>
          <w:tcPr>
            <w:tcW w:w="1701" w:type="dxa"/>
            <w:tcBorders>
              <w:top w:val="nil"/>
              <w:left w:val="nil"/>
              <w:bottom w:val="single" w:sz="4" w:space="0" w:color="auto"/>
              <w:right w:val="single" w:sz="4" w:space="0" w:color="auto"/>
            </w:tcBorders>
            <w:shd w:val="clear" w:color="000000" w:fill="FFFFFF"/>
            <w:vAlign w:val="center"/>
            <w:hideMark/>
          </w:tcPr>
          <w:p w14:paraId="6318610E"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5.000.000,00 </w:t>
            </w:r>
          </w:p>
        </w:tc>
        <w:tc>
          <w:tcPr>
            <w:tcW w:w="1675" w:type="dxa"/>
            <w:tcBorders>
              <w:top w:val="nil"/>
              <w:left w:val="nil"/>
              <w:bottom w:val="single" w:sz="4" w:space="0" w:color="auto"/>
              <w:right w:val="single" w:sz="4" w:space="0" w:color="auto"/>
            </w:tcBorders>
            <w:shd w:val="clear" w:color="000000" w:fill="FFFFFF"/>
            <w:noWrap/>
            <w:vAlign w:val="center"/>
            <w:hideMark/>
          </w:tcPr>
          <w:p w14:paraId="39503A0A"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5.000.000,00 </w:t>
            </w:r>
          </w:p>
        </w:tc>
      </w:tr>
      <w:tr w:rsidR="00C35B4A" w:rsidRPr="00C35B4A" w14:paraId="299F4340" w14:textId="77777777" w:rsidTr="00BA75EC">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320FE33" w14:textId="77777777" w:rsidR="00C35B4A" w:rsidRPr="00C35B4A" w:rsidRDefault="00C35B4A" w:rsidP="00C35B4A">
            <w:pPr>
              <w:spacing w:after="0" w:line="240" w:lineRule="auto"/>
              <w:rPr>
                <w:rFonts w:ascii="Arial Narrow" w:eastAsia="Times New Roman" w:hAnsi="Arial Narrow" w:cs="Calibri"/>
                <w:color w:val="212529"/>
                <w:sz w:val="20"/>
                <w:szCs w:val="20"/>
              </w:rPr>
            </w:pPr>
            <w:r w:rsidRPr="00C35B4A">
              <w:rPr>
                <w:rFonts w:ascii="Arial Narrow" w:eastAsia="Times New Roman" w:hAnsi="Arial Narrow" w:cs="Calibri"/>
                <w:color w:val="212529"/>
                <w:sz w:val="20"/>
                <w:szCs w:val="20"/>
              </w:rPr>
              <w:t>FI CAIXA BRASIL IDKA IPCA 2A TÍTULOS PÚBLICOS RF LP</w:t>
            </w:r>
          </w:p>
        </w:tc>
        <w:tc>
          <w:tcPr>
            <w:tcW w:w="1843" w:type="dxa"/>
            <w:tcBorders>
              <w:top w:val="nil"/>
              <w:left w:val="nil"/>
              <w:bottom w:val="single" w:sz="4" w:space="0" w:color="auto"/>
              <w:right w:val="single" w:sz="4" w:space="0" w:color="auto"/>
            </w:tcBorders>
            <w:shd w:val="clear" w:color="auto" w:fill="auto"/>
            <w:noWrap/>
            <w:vAlign w:val="center"/>
            <w:hideMark/>
          </w:tcPr>
          <w:p w14:paraId="73C49E9A" w14:textId="77777777" w:rsidR="00C35B4A" w:rsidRPr="00C35B4A" w:rsidRDefault="00C35B4A" w:rsidP="00C35B4A">
            <w:pPr>
              <w:spacing w:after="0" w:line="240" w:lineRule="auto"/>
              <w:jc w:val="center"/>
              <w:rPr>
                <w:rFonts w:ascii="Arial Narrow" w:eastAsia="Times New Roman" w:hAnsi="Arial Narrow" w:cs="Calibri"/>
                <w:color w:val="212529"/>
                <w:sz w:val="20"/>
                <w:szCs w:val="20"/>
              </w:rPr>
            </w:pPr>
            <w:r w:rsidRPr="00C35B4A">
              <w:rPr>
                <w:rFonts w:ascii="Arial Narrow" w:eastAsia="Times New Roman" w:hAnsi="Arial Narrow" w:cs="Calibri"/>
                <w:color w:val="212529"/>
                <w:sz w:val="20"/>
                <w:szCs w:val="20"/>
              </w:rPr>
              <w:t>14.386.926/0001-71</w:t>
            </w:r>
          </w:p>
        </w:tc>
        <w:tc>
          <w:tcPr>
            <w:tcW w:w="1985" w:type="dxa"/>
            <w:tcBorders>
              <w:top w:val="nil"/>
              <w:left w:val="nil"/>
              <w:bottom w:val="single" w:sz="4" w:space="0" w:color="auto"/>
              <w:right w:val="single" w:sz="4" w:space="0" w:color="auto"/>
            </w:tcBorders>
            <w:shd w:val="clear" w:color="000000" w:fill="FFFFFF"/>
            <w:vAlign w:val="center"/>
            <w:hideMark/>
          </w:tcPr>
          <w:p w14:paraId="59055D00"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3.574.374,87 </w:t>
            </w:r>
          </w:p>
        </w:tc>
        <w:tc>
          <w:tcPr>
            <w:tcW w:w="1701" w:type="dxa"/>
            <w:tcBorders>
              <w:top w:val="nil"/>
              <w:left w:val="nil"/>
              <w:bottom w:val="single" w:sz="4" w:space="0" w:color="auto"/>
              <w:right w:val="single" w:sz="4" w:space="0" w:color="auto"/>
            </w:tcBorders>
            <w:shd w:val="clear" w:color="000000" w:fill="FFFFFF"/>
            <w:vAlign w:val="center"/>
            <w:hideMark/>
          </w:tcPr>
          <w:p w14:paraId="3DCDA7EF"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   </w:t>
            </w:r>
          </w:p>
        </w:tc>
        <w:tc>
          <w:tcPr>
            <w:tcW w:w="1675" w:type="dxa"/>
            <w:tcBorders>
              <w:top w:val="nil"/>
              <w:left w:val="nil"/>
              <w:bottom w:val="single" w:sz="4" w:space="0" w:color="auto"/>
              <w:right w:val="single" w:sz="4" w:space="0" w:color="auto"/>
            </w:tcBorders>
            <w:shd w:val="clear" w:color="000000" w:fill="FFFFFF"/>
            <w:noWrap/>
            <w:vAlign w:val="center"/>
            <w:hideMark/>
          </w:tcPr>
          <w:p w14:paraId="15B05AFC"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3.574.374,87 </w:t>
            </w:r>
          </w:p>
        </w:tc>
      </w:tr>
      <w:tr w:rsidR="00C35B4A" w:rsidRPr="00C35B4A" w14:paraId="6FA21830" w14:textId="77777777" w:rsidTr="00BA75EC">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E3AF96" w14:textId="77777777" w:rsidR="00C35B4A" w:rsidRPr="00C35B4A" w:rsidRDefault="00C35B4A" w:rsidP="00C35B4A">
            <w:pPr>
              <w:spacing w:after="0" w:line="240" w:lineRule="auto"/>
              <w:rPr>
                <w:rFonts w:ascii="Arial Narrow" w:eastAsia="Times New Roman" w:hAnsi="Arial Narrow" w:cs="Calibri"/>
                <w:color w:val="212529"/>
                <w:sz w:val="20"/>
                <w:szCs w:val="20"/>
              </w:rPr>
            </w:pPr>
            <w:r w:rsidRPr="00C35B4A">
              <w:rPr>
                <w:rFonts w:ascii="Arial Narrow" w:eastAsia="Times New Roman" w:hAnsi="Arial Narrow" w:cs="Calibri"/>
                <w:color w:val="212529"/>
                <w:sz w:val="20"/>
                <w:szCs w:val="20"/>
              </w:rPr>
              <w:t xml:space="preserve">SANTANDER GO GLOBAL EQUITY ESG REAIS MULT IE FI </w:t>
            </w:r>
          </w:p>
        </w:tc>
        <w:tc>
          <w:tcPr>
            <w:tcW w:w="1843" w:type="dxa"/>
            <w:tcBorders>
              <w:top w:val="nil"/>
              <w:left w:val="nil"/>
              <w:bottom w:val="single" w:sz="4" w:space="0" w:color="auto"/>
              <w:right w:val="single" w:sz="4" w:space="0" w:color="auto"/>
            </w:tcBorders>
            <w:shd w:val="clear" w:color="auto" w:fill="auto"/>
            <w:noWrap/>
            <w:vAlign w:val="center"/>
            <w:hideMark/>
          </w:tcPr>
          <w:p w14:paraId="02D3F652" w14:textId="77777777" w:rsidR="00C35B4A" w:rsidRPr="00C35B4A" w:rsidRDefault="00C35B4A" w:rsidP="00C35B4A">
            <w:pPr>
              <w:spacing w:after="0" w:line="240" w:lineRule="auto"/>
              <w:jc w:val="center"/>
              <w:rPr>
                <w:rFonts w:ascii="Arial Narrow" w:eastAsia="Times New Roman" w:hAnsi="Arial Narrow" w:cs="Calibri"/>
                <w:color w:val="212529"/>
                <w:sz w:val="20"/>
                <w:szCs w:val="20"/>
              </w:rPr>
            </w:pPr>
            <w:r w:rsidRPr="00C35B4A">
              <w:rPr>
                <w:rFonts w:ascii="Arial Narrow" w:eastAsia="Times New Roman" w:hAnsi="Arial Narrow" w:cs="Calibri"/>
                <w:color w:val="212529"/>
                <w:sz w:val="20"/>
                <w:szCs w:val="20"/>
              </w:rPr>
              <w:t>34.258.351/0001-19</w:t>
            </w:r>
          </w:p>
        </w:tc>
        <w:tc>
          <w:tcPr>
            <w:tcW w:w="1985" w:type="dxa"/>
            <w:tcBorders>
              <w:top w:val="nil"/>
              <w:left w:val="nil"/>
              <w:bottom w:val="single" w:sz="4" w:space="0" w:color="auto"/>
              <w:right w:val="single" w:sz="4" w:space="0" w:color="auto"/>
            </w:tcBorders>
            <w:shd w:val="clear" w:color="000000" w:fill="FFFFFF"/>
            <w:noWrap/>
            <w:vAlign w:val="center"/>
            <w:hideMark/>
          </w:tcPr>
          <w:p w14:paraId="189D5FB0"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86CA9BF" w14:textId="77777777" w:rsidR="00C35B4A" w:rsidRPr="00C35B4A" w:rsidRDefault="00C35B4A" w:rsidP="00C35B4A">
            <w:pPr>
              <w:spacing w:after="0" w:line="240" w:lineRule="auto"/>
              <w:jc w:val="center"/>
              <w:rPr>
                <w:rFonts w:ascii="Arial Narrow" w:eastAsia="Times New Roman" w:hAnsi="Arial Narrow" w:cs="Calibri"/>
                <w:color w:val="000000"/>
                <w:sz w:val="20"/>
                <w:szCs w:val="20"/>
              </w:rPr>
            </w:pPr>
            <w:r w:rsidRPr="00C35B4A">
              <w:rPr>
                <w:rFonts w:ascii="Arial Narrow" w:eastAsia="Times New Roman" w:hAnsi="Arial Narrow" w:cs="Calibri"/>
                <w:color w:val="000000"/>
                <w:sz w:val="20"/>
                <w:szCs w:val="20"/>
              </w:rPr>
              <w:t xml:space="preserve"> R$   13.220.811,04 </w:t>
            </w:r>
          </w:p>
        </w:tc>
        <w:tc>
          <w:tcPr>
            <w:tcW w:w="1675" w:type="dxa"/>
            <w:tcBorders>
              <w:top w:val="nil"/>
              <w:left w:val="nil"/>
              <w:bottom w:val="single" w:sz="4" w:space="0" w:color="auto"/>
              <w:right w:val="single" w:sz="4" w:space="0" w:color="auto"/>
            </w:tcBorders>
            <w:shd w:val="clear" w:color="000000" w:fill="FFFFFF"/>
            <w:noWrap/>
            <w:vAlign w:val="center"/>
            <w:hideMark/>
          </w:tcPr>
          <w:p w14:paraId="2BB8E7D1"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13.220.811,04 </w:t>
            </w:r>
          </w:p>
        </w:tc>
      </w:tr>
      <w:tr w:rsidR="00C35B4A" w:rsidRPr="00C35B4A" w14:paraId="5F3E3FE2" w14:textId="77777777" w:rsidTr="00BA75EC">
        <w:trPr>
          <w:trHeight w:val="540"/>
        </w:trPr>
        <w:tc>
          <w:tcPr>
            <w:tcW w:w="5529"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886CC6B" w14:textId="77777777" w:rsidR="00C35B4A" w:rsidRPr="00C35B4A" w:rsidRDefault="00C35B4A" w:rsidP="00C35B4A">
            <w:pPr>
              <w:spacing w:after="0" w:line="240" w:lineRule="auto"/>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TOTAL DAS APLICAÇÕES </w:t>
            </w:r>
          </w:p>
        </w:tc>
        <w:tc>
          <w:tcPr>
            <w:tcW w:w="1985" w:type="dxa"/>
            <w:tcBorders>
              <w:top w:val="nil"/>
              <w:left w:val="nil"/>
              <w:bottom w:val="single" w:sz="4" w:space="0" w:color="auto"/>
              <w:right w:val="single" w:sz="4" w:space="0" w:color="auto"/>
            </w:tcBorders>
            <w:shd w:val="clear" w:color="000000" w:fill="D9D9D9"/>
            <w:noWrap/>
            <w:vAlign w:val="center"/>
            <w:hideMark/>
          </w:tcPr>
          <w:p w14:paraId="265CFCC4"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3.574.374,87 </w:t>
            </w:r>
          </w:p>
        </w:tc>
        <w:tc>
          <w:tcPr>
            <w:tcW w:w="1701" w:type="dxa"/>
            <w:tcBorders>
              <w:top w:val="nil"/>
              <w:left w:val="nil"/>
              <w:bottom w:val="single" w:sz="4" w:space="0" w:color="auto"/>
              <w:right w:val="single" w:sz="4" w:space="0" w:color="auto"/>
            </w:tcBorders>
            <w:shd w:val="clear" w:color="000000" w:fill="D9D9D9"/>
            <w:noWrap/>
            <w:vAlign w:val="center"/>
            <w:hideMark/>
          </w:tcPr>
          <w:p w14:paraId="5859A126"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18.220.811,04 </w:t>
            </w:r>
          </w:p>
        </w:tc>
        <w:tc>
          <w:tcPr>
            <w:tcW w:w="1675" w:type="dxa"/>
            <w:tcBorders>
              <w:top w:val="nil"/>
              <w:left w:val="nil"/>
              <w:bottom w:val="single" w:sz="4" w:space="0" w:color="auto"/>
              <w:right w:val="single" w:sz="4" w:space="0" w:color="auto"/>
            </w:tcBorders>
            <w:shd w:val="clear" w:color="000000" w:fill="D9D9D9"/>
            <w:noWrap/>
            <w:vAlign w:val="center"/>
            <w:hideMark/>
          </w:tcPr>
          <w:p w14:paraId="0188269F" w14:textId="77777777" w:rsidR="00C35B4A" w:rsidRPr="00C35B4A" w:rsidRDefault="00C35B4A" w:rsidP="00C35B4A">
            <w:pPr>
              <w:spacing w:after="0" w:line="240" w:lineRule="auto"/>
              <w:jc w:val="center"/>
              <w:rPr>
                <w:rFonts w:ascii="Arial Narrow" w:eastAsia="Times New Roman" w:hAnsi="Arial Narrow" w:cs="Calibri"/>
                <w:b/>
                <w:bCs/>
                <w:color w:val="000000"/>
                <w:sz w:val="20"/>
                <w:szCs w:val="20"/>
              </w:rPr>
            </w:pPr>
            <w:r w:rsidRPr="00C35B4A">
              <w:rPr>
                <w:rFonts w:ascii="Arial Narrow" w:eastAsia="Times New Roman" w:hAnsi="Arial Narrow" w:cs="Calibri"/>
                <w:b/>
                <w:bCs/>
                <w:color w:val="000000"/>
                <w:sz w:val="20"/>
                <w:szCs w:val="20"/>
              </w:rPr>
              <w:t xml:space="preserve"> R$  21.795.185,91 </w:t>
            </w:r>
          </w:p>
        </w:tc>
      </w:tr>
    </w:tbl>
    <w:p w14:paraId="72259BB0" w14:textId="77777777" w:rsidR="00300DD4" w:rsidRPr="009210FB" w:rsidRDefault="00300DD4" w:rsidP="00ED240C">
      <w:pPr>
        <w:pStyle w:val="Estilopadro"/>
        <w:spacing w:after="0" w:line="360" w:lineRule="auto"/>
        <w:jc w:val="both"/>
        <w:rPr>
          <w:rFonts w:ascii="Arial" w:hAnsi="Arial" w:cs="Arial"/>
          <w:b/>
          <w:bCs/>
          <w:color w:val="000000" w:themeColor="text1"/>
          <w:sz w:val="24"/>
          <w:szCs w:val="24"/>
        </w:rPr>
      </w:pPr>
    </w:p>
    <w:p w14:paraId="27D2AB65" w14:textId="77777777" w:rsidR="00AB1E29" w:rsidRPr="009210FB" w:rsidRDefault="00AB1E29" w:rsidP="00ED240C">
      <w:pPr>
        <w:pStyle w:val="Estilopadro"/>
        <w:spacing w:after="0" w:line="360" w:lineRule="auto"/>
        <w:jc w:val="both"/>
        <w:rPr>
          <w:rFonts w:ascii="Arial" w:hAnsi="Arial" w:cs="Arial"/>
          <w:b/>
          <w:bCs/>
          <w:color w:val="000000" w:themeColor="text1"/>
          <w:sz w:val="24"/>
          <w:szCs w:val="24"/>
        </w:rPr>
      </w:pPr>
      <w:r w:rsidRPr="009210FB">
        <w:rPr>
          <w:rFonts w:ascii="Arial" w:hAnsi="Arial" w:cs="Arial"/>
          <w:b/>
          <w:bCs/>
          <w:color w:val="000000" w:themeColor="text1"/>
          <w:sz w:val="24"/>
          <w:szCs w:val="24"/>
        </w:rPr>
        <w:br w:type="page"/>
      </w:r>
    </w:p>
    <w:p w14:paraId="5806104A" w14:textId="77777777" w:rsidR="001402F2" w:rsidRPr="009210FB" w:rsidRDefault="001402F2" w:rsidP="00ED240C">
      <w:pPr>
        <w:pStyle w:val="Estilopadro"/>
        <w:rPr>
          <w:rFonts w:ascii="Arial" w:hAnsi="Arial" w:cs="Arial"/>
          <w:b/>
          <w:bCs/>
          <w:noProof/>
          <w:color w:val="000000" w:themeColor="text1"/>
          <w:sz w:val="24"/>
          <w:szCs w:val="24"/>
        </w:rPr>
        <w:sectPr w:rsidR="001402F2" w:rsidRPr="009210FB" w:rsidSect="001402F2">
          <w:pgSz w:w="11906" w:h="16838"/>
          <w:pgMar w:top="690" w:right="1701" w:bottom="851" w:left="1701" w:header="284" w:footer="446" w:gutter="0"/>
          <w:cols w:space="720"/>
          <w:formProt w:val="0"/>
          <w:docGrid w:linePitch="360" w:charSpace="8192"/>
        </w:sectPr>
      </w:pPr>
    </w:p>
    <w:p w14:paraId="7BABD579" w14:textId="77777777" w:rsidR="00ED240C" w:rsidRPr="009210FB" w:rsidRDefault="00ED240C" w:rsidP="00ED240C">
      <w:pPr>
        <w:pStyle w:val="Estilopadro"/>
        <w:rPr>
          <w:rFonts w:ascii="Arial" w:hAnsi="Arial" w:cs="Arial"/>
          <w:noProof/>
          <w:color w:val="000000" w:themeColor="text1"/>
          <w:sz w:val="24"/>
          <w:szCs w:val="24"/>
        </w:rPr>
      </w:pPr>
      <w:r w:rsidRPr="009210FB">
        <w:rPr>
          <w:rFonts w:ascii="Arial" w:hAnsi="Arial" w:cs="Arial"/>
          <w:b/>
          <w:bCs/>
          <w:noProof/>
          <w:color w:val="000000" w:themeColor="text1"/>
          <w:sz w:val="24"/>
          <w:szCs w:val="24"/>
        </w:rPr>
        <w:t>Tabela 02:</w:t>
      </w:r>
      <w:r w:rsidRPr="009210FB">
        <w:rPr>
          <w:rFonts w:ascii="Arial" w:hAnsi="Arial" w:cs="Arial"/>
          <w:b/>
          <w:bCs/>
          <w:color w:val="000000" w:themeColor="text1"/>
          <w:sz w:val="24"/>
          <w:szCs w:val="24"/>
        </w:rPr>
        <w:t>Movimentações Estratégicas</w:t>
      </w:r>
    </w:p>
    <w:tbl>
      <w:tblPr>
        <w:tblW w:w="15640" w:type="dxa"/>
        <w:tblInd w:w="75" w:type="dxa"/>
        <w:tblCellMar>
          <w:left w:w="70" w:type="dxa"/>
          <w:right w:w="70" w:type="dxa"/>
        </w:tblCellMar>
        <w:tblLook w:val="04A0" w:firstRow="1" w:lastRow="0" w:firstColumn="1" w:lastColumn="0" w:noHBand="0" w:noVBand="1"/>
      </w:tblPr>
      <w:tblGrid>
        <w:gridCol w:w="1980"/>
        <w:gridCol w:w="3260"/>
        <w:gridCol w:w="2126"/>
        <w:gridCol w:w="1418"/>
        <w:gridCol w:w="1559"/>
        <w:gridCol w:w="3119"/>
        <w:gridCol w:w="2178"/>
      </w:tblGrid>
      <w:tr w:rsidR="00FC1042" w:rsidRPr="00FC1042" w14:paraId="56E9C87E" w14:textId="77777777" w:rsidTr="00FC1042">
        <w:trPr>
          <w:trHeight w:val="283"/>
        </w:trPr>
        <w:tc>
          <w:tcPr>
            <w:tcW w:w="19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B0C4157"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SEGREGAÇÃO</w:t>
            </w:r>
          </w:p>
        </w:tc>
        <w:tc>
          <w:tcPr>
            <w:tcW w:w="3260" w:type="dxa"/>
            <w:tcBorders>
              <w:top w:val="single" w:sz="4" w:space="0" w:color="auto"/>
              <w:left w:val="nil"/>
              <w:bottom w:val="single" w:sz="4" w:space="0" w:color="auto"/>
              <w:right w:val="single" w:sz="4" w:space="0" w:color="auto"/>
            </w:tcBorders>
            <w:shd w:val="clear" w:color="000000" w:fill="D0CECE"/>
            <w:noWrap/>
            <w:vAlign w:val="center"/>
            <w:hideMark/>
          </w:tcPr>
          <w:p w14:paraId="003396DA"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DE FUNDO</w:t>
            </w:r>
          </w:p>
        </w:tc>
        <w:tc>
          <w:tcPr>
            <w:tcW w:w="2126" w:type="dxa"/>
            <w:tcBorders>
              <w:top w:val="single" w:sz="4" w:space="0" w:color="auto"/>
              <w:left w:val="nil"/>
              <w:bottom w:val="single" w:sz="4" w:space="0" w:color="auto"/>
              <w:right w:val="single" w:sz="4" w:space="0" w:color="auto"/>
            </w:tcBorders>
            <w:shd w:val="clear" w:color="000000" w:fill="D0CECE"/>
            <w:noWrap/>
            <w:vAlign w:val="center"/>
            <w:hideMark/>
          </w:tcPr>
          <w:p w14:paraId="562EE06B"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CNPJ</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5F643DB1"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TIPO DE RESGATE</w:t>
            </w:r>
          </w:p>
        </w:tc>
        <w:tc>
          <w:tcPr>
            <w:tcW w:w="1559" w:type="dxa"/>
            <w:tcBorders>
              <w:top w:val="single" w:sz="4" w:space="0" w:color="auto"/>
              <w:left w:val="nil"/>
              <w:bottom w:val="single" w:sz="4" w:space="0" w:color="auto"/>
              <w:right w:val="single" w:sz="4" w:space="0" w:color="auto"/>
            </w:tcBorders>
            <w:shd w:val="clear" w:color="000000" w:fill="D0CECE"/>
            <w:noWrap/>
            <w:vAlign w:val="center"/>
            <w:hideMark/>
          </w:tcPr>
          <w:p w14:paraId="239F88D8"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VALOR</w:t>
            </w:r>
          </w:p>
        </w:tc>
        <w:tc>
          <w:tcPr>
            <w:tcW w:w="3119" w:type="dxa"/>
            <w:tcBorders>
              <w:top w:val="single" w:sz="4" w:space="0" w:color="auto"/>
              <w:left w:val="nil"/>
              <w:bottom w:val="single" w:sz="4" w:space="0" w:color="auto"/>
              <w:right w:val="single" w:sz="4" w:space="0" w:color="auto"/>
            </w:tcBorders>
            <w:shd w:val="clear" w:color="000000" w:fill="D0CECE"/>
            <w:noWrap/>
            <w:vAlign w:val="center"/>
            <w:hideMark/>
          </w:tcPr>
          <w:p w14:paraId="3A517C45"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PARA FUNDO</w:t>
            </w:r>
          </w:p>
        </w:tc>
        <w:tc>
          <w:tcPr>
            <w:tcW w:w="2178" w:type="dxa"/>
            <w:tcBorders>
              <w:top w:val="single" w:sz="4" w:space="0" w:color="auto"/>
              <w:left w:val="nil"/>
              <w:bottom w:val="single" w:sz="4" w:space="0" w:color="auto"/>
              <w:right w:val="single" w:sz="4" w:space="0" w:color="auto"/>
            </w:tcBorders>
            <w:shd w:val="clear" w:color="000000" w:fill="D0CECE"/>
            <w:noWrap/>
            <w:vAlign w:val="center"/>
            <w:hideMark/>
          </w:tcPr>
          <w:p w14:paraId="63192693"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CNPJ</w:t>
            </w:r>
          </w:p>
        </w:tc>
      </w:tr>
      <w:tr w:rsidR="00FC1042" w:rsidRPr="00FC1042" w14:paraId="43B6CC49" w14:textId="77777777" w:rsidTr="00FC1042">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BD639C"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FINANCEIRO</w:t>
            </w:r>
          </w:p>
        </w:tc>
        <w:tc>
          <w:tcPr>
            <w:tcW w:w="3260" w:type="dxa"/>
            <w:tcBorders>
              <w:top w:val="nil"/>
              <w:left w:val="nil"/>
              <w:bottom w:val="single" w:sz="4" w:space="0" w:color="auto"/>
              <w:right w:val="single" w:sz="4" w:space="0" w:color="auto"/>
            </w:tcBorders>
            <w:shd w:val="clear" w:color="auto" w:fill="auto"/>
            <w:noWrap/>
            <w:vAlign w:val="center"/>
            <w:hideMark/>
          </w:tcPr>
          <w:p w14:paraId="39A34FB5"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BB PREV RF FLUXO FIC</w:t>
            </w:r>
          </w:p>
        </w:tc>
        <w:tc>
          <w:tcPr>
            <w:tcW w:w="2126" w:type="dxa"/>
            <w:tcBorders>
              <w:top w:val="nil"/>
              <w:left w:val="nil"/>
              <w:bottom w:val="single" w:sz="4" w:space="0" w:color="auto"/>
              <w:right w:val="single" w:sz="4" w:space="0" w:color="auto"/>
            </w:tcBorders>
            <w:shd w:val="clear" w:color="auto" w:fill="auto"/>
            <w:noWrap/>
            <w:vAlign w:val="center"/>
            <w:hideMark/>
          </w:tcPr>
          <w:p w14:paraId="4935AC25"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13.077.415/0001-05</w:t>
            </w:r>
          </w:p>
        </w:tc>
        <w:tc>
          <w:tcPr>
            <w:tcW w:w="1418" w:type="dxa"/>
            <w:tcBorders>
              <w:top w:val="nil"/>
              <w:left w:val="nil"/>
              <w:bottom w:val="single" w:sz="4" w:space="0" w:color="auto"/>
              <w:right w:val="single" w:sz="4" w:space="0" w:color="auto"/>
            </w:tcBorders>
            <w:shd w:val="clear" w:color="auto" w:fill="auto"/>
            <w:noWrap/>
            <w:vAlign w:val="center"/>
            <w:hideMark/>
          </w:tcPr>
          <w:p w14:paraId="2B19D5AB"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PARCIAL</w:t>
            </w:r>
          </w:p>
        </w:tc>
        <w:tc>
          <w:tcPr>
            <w:tcW w:w="1559" w:type="dxa"/>
            <w:tcBorders>
              <w:top w:val="nil"/>
              <w:left w:val="nil"/>
              <w:bottom w:val="single" w:sz="4" w:space="0" w:color="auto"/>
              <w:right w:val="single" w:sz="4" w:space="0" w:color="auto"/>
            </w:tcBorders>
            <w:shd w:val="clear" w:color="000000" w:fill="FFFFFF"/>
            <w:vAlign w:val="center"/>
            <w:hideMark/>
          </w:tcPr>
          <w:p w14:paraId="1926CCE0"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R$3.574.374,87</w:t>
            </w:r>
          </w:p>
        </w:tc>
        <w:tc>
          <w:tcPr>
            <w:tcW w:w="3119" w:type="dxa"/>
            <w:tcBorders>
              <w:top w:val="nil"/>
              <w:left w:val="nil"/>
              <w:bottom w:val="single" w:sz="4" w:space="0" w:color="auto"/>
              <w:right w:val="single" w:sz="4" w:space="0" w:color="auto"/>
            </w:tcBorders>
            <w:shd w:val="clear" w:color="auto" w:fill="auto"/>
            <w:vAlign w:val="center"/>
            <w:hideMark/>
          </w:tcPr>
          <w:p w14:paraId="008E795B"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FI CAIXA BRASIL IDKA IPCA 2A TÍTULOS PÚBLICOS RF LP</w:t>
            </w:r>
          </w:p>
        </w:tc>
        <w:tc>
          <w:tcPr>
            <w:tcW w:w="2178" w:type="dxa"/>
            <w:tcBorders>
              <w:top w:val="nil"/>
              <w:left w:val="nil"/>
              <w:bottom w:val="single" w:sz="4" w:space="0" w:color="auto"/>
              <w:right w:val="single" w:sz="4" w:space="0" w:color="auto"/>
            </w:tcBorders>
            <w:shd w:val="clear" w:color="auto" w:fill="auto"/>
            <w:noWrap/>
            <w:vAlign w:val="center"/>
            <w:hideMark/>
          </w:tcPr>
          <w:p w14:paraId="74D25293"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14.386.926/0001-71</w:t>
            </w:r>
          </w:p>
        </w:tc>
      </w:tr>
      <w:tr w:rsidR="00FC1042" w:rsidRPr="00FC1042" w14:paraId="550549D2" w14:textId="77777777" w:rsidTr="00FC1042">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6C7EDB3"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PREVIDENCIARIO</w:t>
            </w:r>
          </w:p>
        </w:tc>
        <w:tc>
          <w:tcPr>
            <w:tcW w:w="3260" w:type="dxa"/>
            <w:tcBorders>
              <w:top w:val="nil"/>
              <w:left w:val="nil"/>
              <w:bottom w:val="single" w:sz="4" w:space="0" w:color="auto"/>
              <w:right w:val="single" w:sz="4" w:space="0" w:color="auto"/>
            </w:tcBorders>
            <w:shd w:val="clear" w:color="auto" w:fill="auto"/>
            <w:noWrap/>
            <w:vAlign w:val="center"/>
            <w:hideMark/>
          </w:tcPr>
          <w:p w14:paraId="4EF6DC6B" w14:textId="6BBBBEA2"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BB PREV RF FLUXO FIC</w:t>
            </w:r>
          </w:p>
        </w:tc>
        <w:tc>
          <w:tcPr>
            <w:tcW w:w="2126" w:type="dxa"/>
            <w:tcBorders>
              <w:top w:val="nil"/>
              <w:left w:val="nil"/>
              <w:bottom w:val="single" w:sz="4" w:space="0" w:color="auto"/>
              <w:right w:val="single" w:sz="4" w:space="0" w:color="auto"/>
            </w:tcBorders>
            <w:shd w:val="clear" w:color="auto" w:fill="auto"/>
            <w:noWrap/>
            <w:vAlign w:val="center"/>
            <w:hideMark/>
          </w:tcPr>
          <w:p w14:paraId="6F72E064"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13.077.415/0001-05</w:t>
            </w:r>
          </w:p>
        </w:tc>
        <w:tc>
          <w:tcPr>
            <w:tcW w:w="1418" w:type="dxa"/>
            <w:tcBorders>
              <w:top w:val="nil"/>
              <w:left w:val="nil"/>
              <w:bottom w:val="single" w:sz="4" w:space="0" w:color="auto"/>
              <w:right w:val="single" w:sz="4" w:space="0" w:color="auto"/>
            </w:tcBorders>
            <w:shd w:val="clear" w:color="auto" w:fill="auto"/>
            <w:noWrap/>
            <w:vAlign w:val="center"/>
            <w:hideMark/>
          </w:tcPr>
          <w:p w14:paraId="25174F45"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PARCIAL</w:t>
            </w:r>
          </w:p>
        </w:tc>
        <w:tc>
          <w:tcPr>
            <w:tcW w:w="1559" w:type="dxa"/>
            <w:tcBorders>
              <w:top w:val="nil"/>
              <w:left w:val="nil"/>
              <w:bottom w:val="single" w:sz="4" w:space="0" w:color="auto"/>
              <w:right w:val="single" w:sz="4" w:space="0" w:color="auto"/>
            </w:tcBorders>
            <w:shd w:val="clear" w:color="000000" w:fill="FFFFFF"/>
            <w:vAlign w:val="center"/>
            <w:hideMark/>
          </w:tcPr>
          <w:p w14:paraId="0A48D61F"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R$4.001.356,30</w:t>
            </w:r>
          </w:p>
        </w:tc>
        <w:tc>
          <w:tcPr>
            <w:tcW w:w="3119" w:type="dxa"/>
            <w:tcBorders>
              <w:top w:val="nil"/>
              <w:left w:val="nil"/>
              <w:bottom w:val="single" w:sz="4" w:space="0" w:color="auto"/>
              <w:right w:val="single" w:sz="4" w:space="0" w:color="auto"/>
            </w:tcBorders>
            <w:shd w:val="clear" w:color="auto" w:fill="auto"/>
            <w:vAlign w:val="center"/>
            <w:hideMark/>
          </w:tcPr>
          <w:p w14:paraId="274B24C0" w14:textId="1C8D376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SANTANDER GO GLOBAL EQUITY ESG REAIS MULT IE FI</w:t>
            </w:r>
          </w:p>
        </w:tc>
        <w:tc>
          <w:tcPr>
            <w:tcW w:w="2178" w:type="dxa"/>
            <w:tcBorders>
              <w:top w:val="nil"/>
              <w:left w:val="nil"/>
              <w:bottom w:val="single" w:sz="4" w:space="0" w:color="auto"/>
              <w:right w:val="single" w:sz="4" w:space="0" w:color="auto"/>
            </w:tcBorders>
            <w:shd w:val="clear" w:color="auto" w:fill="auto"/>
            <w:noWrap/>
            <w:vAlign w:val="center"/>
            <w:hideMark/>
          </w:tcPr>
          <w:p w14:paraId="08CDAA27"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34.258.351/0001-19</w:t>
            </w:r>
          </w:p>
        </w:tc>
      </w:tr>
      <w:tr w:rsidR="00FC1042" w:rsidRPr="00FC1042" w14:paraId="7EBF0980" w14:textId="77777777" w:rsidTr="00FC1042">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EDEB35"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PREVIDENCIARIO</w:t>
            </w:r>
          </w:p>
        </w:tc>
        <w:tc>
          <w:tcPr>
            <w:tcW w:w="3260" w:type="dxa"/>
            <w:tcBorders>
              <w:top w:val="nil"/>
              <w:left w:val="nil"/>
              <w:bottom w:val="single" w:sz="4" w:space="0" w:color="auto"/>
              <w:right w:val="single" w:sz="4" w:space="0" w:color="auto"/>
            </w:tcBorders>
            <w:shd w:val="clear" w:color="auto" w:fill="auto"/>
            <w:noWrap/>
            <w:vAlign w:val="center"/>
            <w:hideMark/>
          </w:tcPr>
          <w:p w14:paraId="30653C01"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INSTITUCIONAL AÇÕES PHOENIX FICFI CC 11.678-4</w:t>
            </w:r>
          </w:p>
        </w:tc>
        <w:tc>
          <w:tcPr>
            <w:tcW w:w="2126" w:type="dxa"/>
            <w:tcBorders>
              <w:top w:val="nil"/>
              <w:left w:val="nil"/>
              <w:bottom w:val="single" w:sz="4" w:space="0" w:color="auto"/>
              <w:right w:val="single" w:sz="4" w:space="0" w:color="auto"/>
            </w:tcBorders>
            <w:shd w:val="clear" w:color="auto" w:fill="auto"/>
            <w:noWrap/>
            <w:vAlign w:val="center"/>
            <w:hideMark/>
          </w:tcPr>
          <w:p w14:paraId="36BBAD7C"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23.731.629/0001-07</w:t>
            </w:r>
          </w:p>
        </w:tc>
        <w:tc>
          <w:tcPr>
            <w:tcW w:w="1418" w:type="dxa"/>
            <w:tcBorders>
              <w:top w:val="nil"/>
              <w:left w:val="nil"/>
              <w:bottom w:val="single" w:sz="4" w:space="0" w:color="auto"/>
              <w:right w:val="single" w:sz="4" w:space="0" w:color="auto"/>
            </w:tcBorders>
            <w:shd w:val="clear" w:color="auto" w:fill="auto"/>
            <w:noWrap/>
            <w:vAlign w:val="center"/>
            <w:hideMark/>
          </w:tcPr>
          <w:p w14:paraId="58FB2D96"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TOTAL</w:t>
            </w:r>
          </w:p>
        </w:tc>
        <w:tc>
          <w:tcPr>
            <w:tcW w:w="1559" w:type="dxa"/>
            <w:tcBorders>
              <w:top w:val="nil"/>
              <w:left w:val="nil"/>
              <w:bottom w:val="single" w:sz="4" w:space="0" w:color="auto"/>
              <w:right w:val="single" w:sz="4" w:space="0" w:color="auto"/>
            </w:tcBorders>
            <w:shd w:val="clear" w:color="000000" w:fill="FFFFFF"/>
            <w:vAlign w:val="center"/>
            <w:hideMark/>
          </w:tcPr>
          <w:p w14:paraId="3710AE88"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R$4.703.647,96</w:t>
            </w:r>
          </w:p>
        </w:tc>
        <w:tc>
          <w:tcPr>
            <w:tcW w:w="3119" w:type="dxa"/>
            <w:tcBorders>
              <w:top w:val="nil"/>
              <w:left w:val="nil"/>
              <w:bottom w:val="single" w:sz="4" w:space="0" w:color="auto"/>
              <w:right w:val="single" w:sz="4" w:space="0" w:color="auto"/>
            </w:tcBorders>
            <w:shd w:val="clear" w:color="auto" w:fill="auto"/>
            <w:vAlign w:val="center"/>
            <w:hideMark/>
          </w:tcPr>
          <w:p w14:paraId="1604657C" w14:textId="70932948"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SANTANDER GO GLOBAL EQUITY ESG REAIS MULT IE FI</w:t>
            </w:r>
          </w:p>
        </w:tc>
        <w:tc>
          <w:tcPr>
            <w:tcW w:w="2178" w:type="dxa"/>
            <w:tcBorders>
              <w:top w:val="nil"/>
              <w:left w:val="nil"/>
              <w:bottom w:val="single" w:sz="4" w:space="0" w:color="auto"/>
              <w:right w:val="single" w:sz="4" w:space="0" w:color="auto"/>
            </w:tcBorders>
            <w:shd w:val="clear" w:color="auto" w:fill="auto"/>
            <w:noWrap/>
            <w:vAlign w:val="center"/>
            <w:hideMark/>
          </w:tcPr>
          <w:p w14:paraId="41B603DD"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34.258.351/0001-19</w:t>
            </w:r>
          </w:p>
        </w:tc>
      </w:tr>
      <w:tr w:rsidR="00FC1042" w:rsidRPr="00FC1042" w14:paraId="620F183A" w14:textId="77777777" w:rsidTr="00FC1042">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DC7A00"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PREVIDENCIARIO</w:t>
            </w:r>
          </w:p>
        </w:tc>
        <w:tc>
          <w:tcPr>
            <w:tcW w:w="3260" w:type="dxa"/>
            <w:tcBorders>
              <w:top w:val="nil"/>
              <w:left w:val="nil"/>
              <w:bottom w:val="single" w:sz="4" w:space="0" w:color="auto"/>
              <w:right w:val="single" w:sz="4" w:space="0" w:color="auto"/>
            </w:tcBorders>
            <w:shd w:val="clear" w:color="auto" w:fill="auto"/>
            <w:noWrap/>
            <w:vAlign w:val="center"/>
            <w:hideMark/>
          </w:tcPr>
          <w:p w14:paraId="02410747"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INSTITUCIONAL AÇÕES PHOENIX FICFI CC 11.670-1</w:t>
            </w:r>
          </w:p>
        </w:tc>
        <w:tc>
          <w:tcPr>
            <w:tcW w:w="2126" w:type="dxa"/>
            <w:tcBorders>
              <w:top w:val="nil"/>
              <w:left w:val="nil"/>
              <w:bottom w:val="single" w:sz="4" w:space="0" w:color="auto"/>
              <w:right w:val="single" w:sz="4" w:space="0" w:color="auto"/>
            </w:tcBorders>
            <w:shd w:val="clear" w:color="auto" w:fill="auto"/>
            <w:noWrap/>
            <w:vAlign w:val="center"/>
            <w:hideMark/>
          </w:tcPr>
          <w:p w14:paraId="13C0E7E5"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23.731.629/0001-07</w:t>
            </w:r>
          </w:p>
        </w:tc>
        <w:tc>
          <w:tcPr>
            <w:tcW w:w="1418" w:type="dxa"/>
            <w:tcBorders>
              <w:top w:val="nil"/>
              <w:left w:val="nil"/>
              <w:bottom w:val="single" w:sz="4" w:space="0" w:color="auto"/>
              <w:right w:val="single" w:sz="4" w:space="0" w:color="auto"/>
            </w:tcBorders>
            <w:shd w:val="clear" w:color="auto" w:fill="auto"/>
            <w:noWrap/>
            <w:vAlign w:val="center"/>
            <w:hideMark/>
          </w:tcPr>
          <w:p w14:paraId="6A8CF009"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TOTAL</w:t>
            </w:r>
          </w:p>
        </w:tc>
        <w:tc>
          <w:tcPr>
            <w:tcW w:w="1559" w:type="dxa"/>
            <w:tcBorders>
              <w:top w:val="nil"/>
              <w:left w:val="nil"/>
              <w:bottom w:val="single" w:sz="4" w:space="0" w:color="auto"/>
              <w:right w:val="single" w:sz="4" w:space="0" w:color="auto"/>
            </w:tcBorders>
            <w:shd w:val="clear" w:color="000000" w:fill="FFFFFF"/>
            <w:vAlign w:val="center"/>
            <w:hideMark/>
          </w:tcPr>
          <w:p w14:paraId="3BE17629"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R$4.515.806,79</w:t>
            </w:r>
          </w:p>
        </w:tc>
        <w:tc>
          <w:tcPr>
            <w:tcW w:w="3119" w:type="dxa"/>
            <w:tcBorders>
              <w:top w:val="nil"/>
              <w:left w:val="nil"/>
              <w:bottom w:val="single" w:sz="4" w:space="0" w:color="auto"/>
              <w:right w:val="single" w:sz="4" w:space="0" w:color="auto"/>
            </w:tcBorders>
            <w:shd w:val="clear" w:color="auto" w:fill="auto"/>
            <w:vAlign w:val="center"/>
            <w:hideMark/>
          </w:tcPr>
          <w:p w14:paraId="537ED1F1" w14:textId="58A39834"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SANTANDER GO GLOBAL EQUITY ESG REAIS MULT IE FI</w:t>
            </w:r>
          </w:p>
        </w:tc>
        <w:tc>
          <w:tcPr>
            <w:tcW w:w="2178" w:type="dxa"/>
            <w:tcBorders>
              <w:top w:val="nil"/>
              <w:left w:val="nil"/>
              <w:bottom w:val="single" w:sz="4" w:space="0" w:color="auto"/>
              <w:right w:val="single" w:sz="4" w:space="0" w:color="auto"/>
            </w:tcBorders>
            <w:shd w:val="clear" w:color="auto" w:fill="auto"/>
            <w:noWrap/>
            <w:vAlign w:val="center"/>
            <w:hideMark/>
          </w:tcPr>
          <w:p w14:paraId="4348FC97"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34.258.351/0001-19</w:t>
            </w:r>
          </w:p>
        </w:tc>
      </w:tr>
      <w:tr w:rsidR="00FC1042" w:rsidRPr="00FC1042" w14:paraId="365679F8" w14:textId="77777777" w:rsidTr="00FC1042">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214E12"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PREVIDENCIARIO</w:t>
            </w:r>
          </w:p>
        </w:tc>
        <w:tc>
          <w:tcPr>
            <w:tcW w:w="3260" w:type="dxa"/>
            <w:tcBorders>
              <w:top w:val="nil"/>
              <w:left w:val="nil"/>
              <w:bottom w:val="single" w:sz="4" w:space="0" w:color="auto"/>
              <w:right w:val="single" w:sz="4" w:space="0" w:color="auto"/>
            </w:tcBorders>
            <w:shd w:val="clear" w:color="auto" w:fill="auto"/>
            <w:vAlign w:val="center"/>
            <w:hideMark/>
          </w:tcPr>
          <w:p w14:paraId="30BD030C"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SAFRA S P REAIS PB FI MULTIMERCADO</w:t>
            </w:r>
          </w:p>
        </w:tc>
        <w:tc>
          <w:tcPr>
            <w:tcW w:w="2126" w:type="dxa"/>
            <w:tcBorders>
              <w:top w:val="nil"/>
              <w:left w:val="nil"/>
              <w:bottom w:val="single" w:sz="4" w:space="0" w:color="auto"/>
              <w:right w:val="single" w:sz="4" w:space="0" w:color="auto"/>
            </w:tcBorders>
            <w:shd w:val="clear" w:color="auto" w:fill="auto"/>
            <w:vAlign w:val="center"/>
            <w:hideMark/>
          </w:tcPr>
          <w:p w14:paraId="5E2ABC99" w14:textId="77777777" w:rsidR="00FC1042" w:rsidRPr="00FC1042" w:rsidRDefault="00FC1042" w:rsidP="00FC1042">
            <w:pPr>
              <w:spacing w:after="0" w:line="240" w:lineRule="auto"/>
              <w:jc w:val="center"/>
              <w:rPr>
                <w:rFonts w:ascii="Arial Narrow" w:eastAsia="Times New Roman" w:hAnsi="Arial Narrow" w:cs="Calibri"/>
                <w:color w:val="212529"/>
                <w:sz w:val="20"/>
                <w:szCs w:val="20"/>
              </w:rPr>
            </w:pPr>
            <w:r w:rsidRPr="00FC1042">
              <w:rPr>
                <w:rFonts w:ascii="Arial Narrow" w:eastAsia="Times New Roman" w:hAnsi="Arial Narrow" w:cs="Calibri"/>
                <w:color w:val="212529"/>
                <w:sz w:val="20"/>
                <w:szCs w:val="20"/>
              </w:rPr>
              <w:t>21.595.829/0001-54</w:t>
            </w:r>
          </w:p>
        </w:tc>
        <w:tc>
          <w:tcPr>
            <w:tcW w:w="1418" w:type="dxa"/>
            <w:tcBorders>
              <w:top w:val="nil"/>
              <w:left w:val="nil"/>
              <w:bottom w:val="single" w:sz="4" w:space="0" w:color="auto"/>
              <w:right w:val="single" w:sz="4" w:space="0" w:color="auto"/>
            </w:tcBorders>
            <w:shd w:val="clear" w:color="auto" w:fill="auto"/>
            <w:noWrap/>
            <w:vAlign w:val="center"/>
            <w:hideMark/>
          </w:tcPr>
          <w:p w14:paraId="2892203C"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PARCIAL</w:t>
            </w:r>
          </w:p>
        </w:tc>
        <w:tc>
          <w:tcPr>
            <w:tcW w:w="1559" w:type="dxa"/>
            <w:tcBorders>
              <w:top w:val="nil"/>
              <w:left w:val="nil"/>
              <w:bottom w:val="single" w:sz="4" w:space="0" w:color="auto"/>
              <w:right w:val="single" w:sz="4" w:space="0" w:color="auto"/>
            </w:tcBorders>
            <w:shd w:val="clear" w:color="auto" w:fill="auto"/>
            <w:noWrap/>
            <w:vAlign w:val="center"/>
            <w:hideMark/>
          </w:tcPr>
          <w:p w14:paraId="08EB71CC"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R$5.000.000,00</w:t>
            </w:r>
          </w:p>
        </w:tc>
        <w:tc>
          <w:tcPr>
            <w:tcW w:w="3119" w:type="dxa"/>
            <w:tcBorders>
              <w:top w:val="nil"/>
              <w:left w:val="nil"/>
              <w:bottom w:val="single" w:sz="4" w:space="0" w:color="auto"/>
              <w:right w:val="single" w:sz="4" w:space="0" w:color="auto"/>
            </w:tcBorders>
            <w:shd w:val="clear" w:color="auto" w:fill="auto"/>
            <w:noWrap/>
            <w:vAlign w:val="center"/>
            <w:hideMark/>
          </w:tcPr>
          <w:p w14:paraId="4B7943F9"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BTG Pactual S&amp;P 500 BRL FIM</w:t>
            </w:r>
          </w:p>
        </w:tc>
        <w:tc>
          <w:tcPr>
            <w:tcW w:w="2178" w:type="dxa"/>
            <w:tcBorders>
              <w:top w:val="nil"/>
              <w:left w:val="nil"/>
              <w:bottom w:val="single" w:sz="4" w:space="0" w:color="auto"/>
              <w:right w:val="single" w:sz="4" w:space="0" w:color="auto"/>
            </w:tcBorders>
            <w:shd w:val="clear" w:color="auto" w:fill="auto"/>
            <w:noWrap/>
            <w:vAlign w:val="center"/>
            <w:hideMark/>
          </w:tcPr>
          <w:p w14:paraId="06318F63" w14:textId="77777777" w:rsidR="00FC1042" w:rsidRPr="00FC1042" w:rsidRDefault="00FC1042" w:rsidP="00FC1042">
            <w:pPr>
              <w:spacing w:after="0" w:line="240" w:lineRule="auto"/>
              <w:jc w:val="center"/>
              <w:rPr>
                <w:rFonts w:ascii="Arial Narrow" w:eastAsia="Times New Roman" w:hAnsi="Arial Narrow" w:cs="Calibri"/>
                <w:color w:val="000000"/>
                <w:sz w:val="20"/>
                <w:szCs w:val="20"/>
              </w:rPr>
            </w:pPr>
            <w:r w:rsidRPr="00FC1042">
              <w:rPr>
                <w:rFonts w:ascii="Arial Narrow" w:eastAsia="Times New Roman" w:hAnsi="Arial Narrow" w:cs="Calibri"/>
                <w:color w:val="000000"/>
                <w:sz w:val="20"/>
                <w:szCs w:val="20"/>
              </w:rPr>
              <w:t>36.499.594/0001-74</w:t>
            </w:r>
          </w:p>
        </w:tc>
      </w:tr>
      <w:tr w:rsidR="00FC1042" w:rsidRPr="00FC1042" w14:paraId="61BDC029" w14:textId="77777777" w:rsidTr="00FC1042">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91F0FE" w14:textId="77777777" w:rsidR="00FC1042" w:rsidRPr="00FC1042" w:rsidRDefault="00FC1042" w:rsidP="00FC1042">
            <w:pPr>
              <w:spacing w:after="0" w:line="240" w:lineRule="auto"/>
              <w:jc w:val="center"/>
              <w:rPr>
                <w:rFonts w:ascii="Arial Narrow" w:eastAsia="Times New Roman" w:hAnsi="Arial Narrow" w:cs="Calibri"/>
                <w:b/>
                <w:bCs/>
                <w:color w:val="000000"/>
                <w:sz w:val="20"/>
                <w:szCs w:val="20"/>
              </w:rPr>
            </w:pPr>
            <w:r w:rsidRPr="00FC1042">
              <w:rPr>
                <w:rFonts w:ascii="Arial Narrow" w:eastAsia="Times New Roman" w:hAnsi="Arial Narrow" w:cs="Calibri"/>
                <w:b/>
                <w:bCs/>
                <w:color w:val="000000"/>
                <w:sz w:val="20"/>
                <w:szCs w:val="20"/>
              </w:rPr>
              <w:t>TOTAL</w:t>
            </w:r>
          </w:p>
        </w:tc>
        <w:tc>
          <w:tcPr>
            <w:tcW w:w="3260" w:type="dxa"/>
            <w:tcBorders>
              <w:top w:val="nil"/>
              <w:left w:val="nil"/>
              <w:bottom w:val="single" w:sz="4" w:space="0" w:color="auto"/>
              <w:right w:val="single" w:sz="4" w:space="0" w:color="auto"/>
            </w:tcBorders>
            <w:shd w:val="clear" w:color="auto" w:fill="auto"/>
            <w:noWrap/>
            <w:vAlign w:val="center"/>
            <w:hideMark/>
          </w:tcPr>
          <w:p w14:paraId="2FD70835" w14:textId="1712F635" w:rsidR="00FC1042" w:rsidRPr="00FC1042" w:rsidRDefault="00FC1042" w:rsidP="00FC1042">
            <w:pPr>
              <w:spacing w:after="0" w:line="240" w:lineRule="auto"/>
              <w:jc w:val="center"/>
              <w:rPr>
                <w:rFonts w:ascii="Arial Narrow" w:eastAsia="Times New Roman" w:hAnsi="Arial Narrow" w:cs="Calibri"/>
                <w:b/>
                <w:bCs/>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14:paraId="67629B1D" w14:textId="4D7C17A2" w:rsidR="00FC1042" w:rsidRPr="00FC1042" w:rsidRDefault="00FC1042" w:rsidP="00FC1042">
            <w:pPr>
              <w:spacing w:after="0" w:line="240" w:lineRule="auto"/>
              <w:jc w:val="center"/>
              <w:rPr>
                <w:rFonts w:ascii="Arial Narrow" w:eastAsia="Times New Roman" w:hAnsi="Arial Narrow" w:cs="Calibri"/>
                <w:b/>
                <w:bCs/>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CE59AC6" w14:textId="2CA38D86" w:rsidR="00FC1042" w:rsidRPr="00FC1042" w:rsidRDefault="00FC1042" w:rsidP="00FC1042">
            <w:pPr>
              <w:spacing w:after="0" w:line="240" w:lineRule="auto"/>
              <w:jc w:val="center"/>
              <w:rPr>
                <w:rFonts w:ascii="Arial Narrow" w:eastAsia="Times New Roman" w:hAnsi="Arial Narrow" w:cs="Calibri"/>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1F6F85B5" w14:textId="28E44A56" w:rsidR="00FC1042" w:rsidRPr="00FC1042" w:rsidRDefault="00FC1042" w:rsidP="00FC104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R$ </w:t>
            </w:r>
            <w:r w:rsidRPr="00FC1042">
              <w:rPr>
                <w:rFonts w:ascii="Arial Narrow" w:eastAsia="Times New Roman" w:hAnsi="Arial Narrow" w:cs="Calibri"/>
                <w:color w:val="000000"/>
                <w:sz w:val="20"/>
                <w:szCs w:val="20"/>
              </w:rPr>
              <w:t>21.795.185,92</w:t>
            </w:r>
          </w:p>
        </w:tc>
        <w:tc>
          <w:tcPr>
            <w:tcW w:w="3119" w:type="dxa"/>
            <w:tcBorders>
              <w:top w:val="nil"/>
              <w:left w:val="nil"/>
              <w:bottom w:val="single" w:sz="4" w:space="0" w:color="auto"/>
              <w:right w:val="single" w:sz="4" w:space="0" w:color="auto"/>
            </w:tcBorders>
            <w:shd w:val="clear" w:color="auto" w:fill="auto"/>
            <w:noWrap/>
            <w:vAlign w:val="center"/>
            <w:hideMark/>
          </w:tcPr>
          <w:p w14:paraId="14693A30" w14:textId="19792832" w:rsidR="00FC1042" w:rsidRPr="00FC1042" w:rsidRDefault="00FC1042" w:rsidP="00FC1042">
            <w:pPr>
              <w:spacing w:after="0" w:line="240" w:lineRule="auto"/>
              <w:jc w:val="center"/>
              <w:rPr>
                <w:rFonts w:ascii="Arial Narrow" w:eastAsia="Times New Roman" w:hAnsi="Arial Narrow" w:cs="Calibri"/>
                <w:color w:val="000000"/>
                <w:sz w:val="20"/>
                <w:szCs w:val="20"/>
              </w:rPr>
            </w:pPr>
          </w:p>
        </w:tc>
        <w:tc>
          <w:tcPr>
            <w:tcW w:w="2178" w:type="dxa"/>
            <w:tcBorders>
              <w:top w:val="nil"/>
              <w:left w:val="nil"/>
              <w:bottom w:val="single" w:sz="4" w:space="0" w:color="auto"/>
              <w:right w:val="single" w:sz="4" w:space="0" w:color="auto"/>
            </w:tcBorders>
            <w:shd w:val="clear" w:color="auto" w:fill="auto"/>
            <w:noWrap/>
            <w:vAlign w:val="center"/>
            <w:hideMark/>
          </w:tcPr>
          <w:p w14:paraId="23E9F737" w14:textId="5807C9D3" w:rsidR="00FC1042" w:rsidRPr="00FC1042" w:rsidRDefault="00FC1042" w:rsidP="00FC1042">
            <w:pPr>
              <w:spacing w:after="0" w:line="240" w:lineRule="auto"/>
              <w:jc w:val="center"/>
              <w:rPr>
                <w:rFonts w:ascii="Arial Narrow" w:eastAsia="Times New Roman" w:hAnsi="Arial Narrow" w:cs="Calibri"/>
                <w:color w:val="000000"/>
                <w:sz w:val="20"/>
                <w:szCs w:val="20"/>
              </w:rPr>
            </w:pPr>
          </w:p>
        </w:tc>
      </w:tr>
    </w:tbl>
    <w:p w14:paraId="0A29870F" w14:textId="77777777" w:rsidR="000F0802" w:rsidRPr="009210FB" w:rsidRDefault="000F0802" w:rsidP="00ED240C">
      <w:pPr>
        <w:pStyle w:val="Estilopadro"/>
        <w:spacing w:after="0" w:line="360" w:lineRule="auto"/>
        <w:jc w:val="both"/>
        <w:rPr>
          <w:rFonts w:ascii="Arial" w:hAnsi="Arial" w:cs="Arial"/>
          <w:b/>
          <w:bCs/>
          <w:color w:val="000000" w:themeColor="text1"/>
          <w:sz w:val="24"/>
          <w:szCs w:val="24"/>
        </w:rPr>
      </w:pPr>
    </w:p>
    <w:p w14:paraId="45FF7F23" w14:textId="77777777" w:rsidR="000F0802" w:rsidRPr="009210FB" w:rsidRDefault="000F0802">
      <w:pPr>
        <w:rPr>
          <w:rFonts w:ascii="Arial" w:eastAsia="Segoe UI" w:hAnsi="Arial" w:cs="Arial"/>
          <w:b/>
          <w:bCs/>
          <w:color w:val="000000" w:themeColor="text1"/>
          <w:sz w:val="24"/>
          <w:szCs w:val="24"/>
        </w:rPr>
      </w:pPr>
      <w:r w:rsidRPr="009210FB">
        <w:rPr>
          <w:rFonts w:ascii="Arial" w:hAnsi="Arial" w:cs="Arial"/>
          <w:b/>
          <w:bCs/>
          <w:color w:val="000000" w:themeColor="text1"/>
          <w:sz w:val="24"/>
          <w:szCs w:val="24"/>
        </w:rPr>
        <w:br w:type="page"/>
      </w:r>
    </w:p>
    <w:p w14:paraId="75BD2DD7" w14:textId="77777777" w:rsidR="00ED240C" w:rsidRPr="009210FB" w:rsidRDefault="00ED240C" w:rsidP="00ED240C">
      <w:pPr>
        <w:pStyle w:val="Estilopadro"/>
        <w:spacing w:after="0" w:line="360" w:lineRule="auto"/>
        <w:jc w:val="both"/>
        <w:rPr>
          <w:rFonts w:ascii="Arial" w:hAnsi="Arial" w:cs="Arial"/>
          <w:color w:val="000000" w:themeColor="text1"/>
          <w:sz w:val="24"/>
          <w:szCs w:val="24"/>
        </w:rPr>
      </w:pPr>
      <w:r w:rsidRPr="009210FB">
        <w:rPr>
          <w:rFonts w:ascii="Arial" w:hAnsi="Arial" w:cs="Arial"/>
          <w:b/>
          <w:bCs/>
          <w:color w:val="000000" w:themeColor="text1"/>
          <w:sz w:val="24"/>
          <w:szCs w:val="24"/>
        </w:rPr>
        <w:t>Tabela 03: Rentabilidade</w:t>
      </w:r>
    </w:p>
    <w:tbl>
      <w:tblPr>
        <w:tblW w:w="14600" w:type="dxa"/>
        <w:tblCellMar>
          <w:left w:w="70" w:type="dxa"/>
          <w:right w:w="70" w:type="dxa"/>
        </w:tblCellMar>
        <w:tblLook w:val="04A0" w:firstRow="1" w:lastRow="0" w:firstColumn="1" w:lastColumn="0" w:noHBand="0" w:noVBand="1"/>
      </w:tblPr>
      <w:tblGrid>
        <w:gridCol w:w="1500"/>
        <w:gridCol w:w="1960"/>
        <w:gridCol w:w="1660"/>
        <w:gridCol w:w="1460"/>
        <w:gridCol w:w="1520"/>
        <w:gridCol w:w="1260"/>
        <w:gridCol w:w="1580"/>
        <w:gridCol w:w="1580"/>
        <w:gridCol w:w="1120"/>
        <w:gridCol w:w="960"/>
      </w:tblGrid>
      <w:tr w:rsidR="00CD0BBE" w:rsidRPr="00CD0BBE" w14:paraId="1218EA18" w14:textId="77777777" w:rsidTr="00CD0BBE">
        <w:trPr>
          <w:trHeight w:val="540"/>
        </w:trPr>
        <w:tc>
          <w:tcPr>
            <w:tcW w:w="1500" w:type="dxa"/>
            <w:tcBorders>
              <w:top w:val="single" w:sz="8" w:space="0" w:color="auto"/>
              <w:left w:val="single" w:sz="8" w:space="0" w:color="auto"/>
              <w:bottom w:val="single" w:sz="8" w:space="0" w:color="auto"/>
              <w:right w:val="single" w:sz="8" w:space="0" w:color="auto"/>
            </w:tcBorders>
            <w:shd w:val="clear" w:color="000000" w:fill="AEAAAA"/>
            <w:vAlign w:val="center"/>
            <w:hideMark/>
          </w:tcPr>
          <w:p w14:paraId="75947FEC"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MÊS</w:t>
            </w:r>
          </w:p>
        </w:tc>
        <w:tc>
          <w:tcPr>
            <w:tcW w:w="1960" w:type="dxa"/>
            <w:tcBorders>
              <w:top w:val="single" w:sz="8" w:space="0" w:color="auto"/>
              <w:left w:val="nil"/>
              <w:bottom w:val="single" w:sz="8" w:space="0" w:color="auto"/>
              <w:right w:val="single" w:sz="8" w:space="0" w:color="auto"/>
            </w:tcBorders>
            <w:shd w:val="clear" w:color="000000" w:fill="AEAAAA"/>
            <w:vAlign w:val="center"/>
            <w:hideMark/>
          </w:tcPr>
          <w:p w14:paraId="5CFC7373"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SALDO ANTERIOR (R$)</w:t>
            </w:r>
          </w:p>
        </w:tc>
        <w:tc>
          <w:tcPr>
            <w:tcW w:w="1660" w:type="dxa"/>
            <w:tcBorders>
              <w:top w:val="single" w:sz="8" w:space="0" w:color="auto"/>
              <w:left w:val="nil"/>
              <w:bottom w:val="single" w:sz="8" w:space="0" w:color="auto"/>
              <w:right w:val="single" w:sz="8" w:space="0" w:color="auto"/>
            </w:tcBorders>
            <w:shd w:val="clear" w:color="000000" w:fill="AEAAAA"/>
            <w:vAlign w:val="center"/>
            <w:hideMark/>
          </w:tcPr>
          <w:p w14:paraId="5BE5E036"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APLICAÇÕES  (R$)</w:t>
            </w:r>
          </w:p>
        </w:tc>
        <w:tc>
          <w:tcPr>
            <w:tcW w:w="1460" w:type="dxa"/>
            <w:tcBorders>
              <w:top w:val="single" w:sz="8" w:space="0" w:color="auto"/>
              <w:left w:val="nil"/>
              <w:bottom w:val="single" w:sz="8" w:space="0" w:color="auto"/>
              <w:right w:val="single" w:sz="8" w:space="0" w:color="auto"/>
            </w:tcBorders>
            <w:shd w:val="clear" w:color="000000" w:fill="AEAAAA"/>
            <w:vAlign w:val="center"/>
            <w:hideMark/>
          </w:tcPr>
          <w:p w14:paraId="1CD764DD"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RESGATES  (R$)</w:t>
            </w:r>
          </w:p>
        </w:tc>
        <w:tc>
          <w:tcPr>
            <w:tcW w:w="1520" w:type="dxa"/>
            <w:tcBorders>
              <w:top w:val="single" w:sz="8" w:space="0" w:color="auto"/>
              <w:left w:val="nil"/>
              <w:bottom w:val="single" w:sz="8" w:space="0" w:color="auto"/>
              <w:right w:val="single" w:sz="8" w:space="0" w:color="auto"/>
            </w:tcBorders>
            <w:shd w:val="clear" w:color="000000" w:fill="AEAAAA"/>
            <w:vAlign w:val="center"/>
            <w:hideMark/>
          </w:tcPr>
          <w:p w14:paraId="0E4545AF"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AMORTIZAÇÃO  (R$)</w:t>
            </w:r>
          </w:p>
        </w:tc>
        <w:tc>
          <w:tcPr>
            <w:tcW w:w="1260" w:type="dxa"/>
            <w:tcBorders>
              <w:top w:val="single" w:sz="8" w:space="0" w:color="auto"/>
              <w:left w:val="nil"/>
              <w:bottom w:val="single" w:sz="8" w:space="0" w:color="auto"/>
              <w:right w:val="single" w:sz="8" w:space="0" w:color="auto"/>
            </w:tcBorders>
            <w:shd w:val="clear" w:color="000000" w:fill="AEAAAA"/>
            <w:vAlign w:val="center"/>
            <w:hideMark/>
          </w:tcPr>
          <w:p w14:paraId="128F046C"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JUROS  (R$)</w:t>
            </w:r>
          </w:p>
        </w:tc>
        <w:tc>
          <w:tcPr>
            <w:tcW w:w="1580" w:type="dxa"/>
            <w:tcBorders>
              <w:top w:val="single" w:sz="8" w:space="0" w:color="auto"/>
              <w:left w:val="nil"/>
              <w:bottom w:val="single" w:sz="8" w:space="0" w:color="auto"/>
              <w:right w:val="single" w:sz="8" w:space="0" w:color="auto"/>
            </w:tcBorders>
            <w:shd w:val="clear" w:color="000000" w:fill="AEAAAA"/>
            <w:vAlign w:val="center"/>
            <w:hideMark/>
          </w:tcPr>
          <w:p w14:paraId="13A95F68"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RETORNO (R$)</w:t>
            </w:r>
          </w:p>
        </w:tc>
        <w:tc>
          <w:tcPr>
            <w:tcW w:w="1580" w:type="dxa"/>
            <w:tcBorders>
              <w:top w:val="single" w:sz="8" w:space="0" w:color="auto"/>
              <w:left w:val="nil"/>
              <w:bottom w:val="single" w:sz="8" w:space="0" w:color="auto"/>
              <w:right w:val="single" w:sz="8" w:space="0" w:color="auto"/>
            </w:tcBorders>
            <w:shd w:val="clear" w:color="000000" w:fill="AEAAAA"/>
            <w:vAlign w:val="center"/>
            <w:hideMark/>
          </w:tcPr>
          <w:p w14:paraId="63BDC6C9"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SALDO NO MÊS</w:t>
            </w:r>
          </w:p>
        </w:tc>
        <w:tc>
          <w:tcPr>
            <w:tcW w:w="1120" w:type="dxa"/>
            <w:tcBorders>
              <w:top w:val="single" w:sz="8" w:space="0" w:color="auto"/>
              <w:left w:val="nil"/>
              <w:bottom w:val="single" w:sz="8" w:space="0" w:color="auto"/>
              <w:right w:val="single" w:sz="8" w:space="0" w:color="auto"/>
            </w:tcBorders>
            <w:shd w:val="clear" w:color="000000" w:fill="AEAAAA"/>
            <w:vAlign w:val="center"/>
            <w:hideMark/>
          </w:tcPr>
          <w:p w14:paraId="027FFB18"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RETORNO (%)</w:t>
            </w:r>
          </w:p>
        </w:tc>
        <w:tc>
          <w:tcPr>
            <w:tcW w:w="960" w:type="dxa"/>
            <w:tcBorders>
              <w:top w:val="single" w:sz="8" w:space="0" w:color="auto"/>
              <w:left w:val="nil"/>
              <w:bottom w:val="single" w:sz="8" w:space="0" w:color="auto"/>
              <w:right w:val="single" w:sz="8" w:space="0" w:color="auto"/>
            </w:tcBorders>
            <w:shd w:val="clear" w:color="000000" w:fill="AEAAAA"/>
            <w:vAlign w:val="center"/>
            <w:hideMark/>
          </w:tcPr>
          <w:p w14:paraId="02D074AE" w14:textId="77777777" w:rsidR="00CD0BBE" w:rsidRPr="00CD0BBE" w:rsidRDefault="00CD0BBE" w:rsidP="00CD0BBE">
            <w:pPr>
              <w:spacing w:after="0" w:line="240" w:lineRule="auto"/>
              <w:jc w:val="center"/>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META (%)</w:t>
            </w:r>
          </w:p>
        </w:tc>
      </w:tr>
      <w:tr w:rsidR="00CD0BBE" w:rsidRPr="00CD0BBE" w14:paraId="370A51F7" w14:textId="77777777" w:rsidTr="00CD0BBE">
        <w:trPr>
          <w:trHeight w:val="54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0D94BA4" w14:textId="77777777" w:rsidR="00CD0BBE" w:rsidRPr="00CD0BBE" w:rsidRDefault="00CD0BBE" w:rsidP="00CD0BBE">
            <w:pPr>
              <w:spacing w:after="0" w:line="240" w:lineRule="auto"/>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JANEIRO</w:t>
            </w:r>
          </w:p>
        </w:tc>
        <w:tc>
          <w:tcPr>
            <w:tcW w:w="1960" w:type="dxa"/>
            <w:tcBorders>
              <w:top w:val="nil"/>
              <w:left w:val="nil"/>
              <w:bottom w:val="single" w:sz="8" w:space="0" w:color="auto"/>
              <w:right w:val="single" w:sz="8" w:space="0" w:color="auto"/>
            </w:tcBorders>
            <w:shd w:val="clear" w:color="auto" w:fill="auto"/>
            <w:noWrap/>
            <w:vAlign w:val="center"/>
            <w:hideMark/>
          </w:tcPr>
          <w:p w14:paraId="0B37BC40"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772.963.474,33</w:t>
            </w:r>
          </w:p>
        </w:tc>
        <w:tc>
          <w:tcPr>
            <w:tcW w:w="1660" w:type="dxa"/>
            <w:tcBorders>
              <w:top w:val="nil"/>
              <w:left w:val="nil"/>
              <w:bottom w:val="single" w:sz="8" w:space="0" w:color="auto"/>
              <w:right w:val="single" w:sz="8" w:space="0" w:color="auto"/>
            </w:tcBorders>
            <w:shd w:val="clear" w:color="auto" w:fill="auto"/>
            <w:noWrap/>
            <w:vAlign w:val="center"/>
            <w:hideMark/>
          </w:tcPr>
          <w:p w14:paraId="743D9334"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32.412.618,92</w:t>
            </w:r>
          </w:p>
        </w:tc>
        <w:tc>
          <w:tcPr>
            <w:tcW w:w="1460" w:type="dxa"/>
            <w:tcBorders>
              <w:top w:val="nil"/>
              <w:left w:val="nil"/>
              <w:bottom w:val="single" w:sz="8" w:space="0" w:color="auto"/>
              <w:right w:val="single" w:sz="8" w:space="0" w:color="auto"/>
            </w:tcBorders>
            <w:shd w:val="clear" w:color="auto" w:fill="auto"/>
            <w:noWrap/>
            <w:vAlign w:val="center"/>
            <w:hideMark/>
          </w:tcPr>
          <w:p w14:paraId="79451551"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17.931.119,19</w:t>
            </w:r>
          </w:p>
        </w:tc>
        <w:tc>
          <w:tcPr>
            <w:tcW w:w="1520" w:type="dxa"/>
            <w:tcBorders>
              <w:top w:val="nil"/>
              <w:left w:val="nil"/>
              <w:bottom w:val="single" w:sz="8" w:space="0" w:color="auto"/>
              <w:right w:val="single" w:sz="8" w:space="0" w:color="auto"/>
            </w:tcBorders>
            <w:shd w:val="clear" w:color="auto" w:fill="auto"/>
            <w:noWrap/>
            <w:vAlign w:val="center"/>
            <w:hideMark/>
          </w:tcPr>
          <w:p w14:paraId="6A4FC620"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49.261,08</w:t>
            </w:r>
          </w:p>
        </w:tc>
        <w:tc>
          <w:tcPr>
            <w:tcW w:w="1260" w:type="dxa"/>
            <w:tcBorders>
              <w:top w:val="nil"/>
              <w:left w:val="nil"/>
              <w:bottom w:val="single" w:sz="8" w:space="0" w:color="auto"/>
              <w:right w:val="single" w:sz="8" w:space="0" w:color="auto"/>
            </w:tcBorders>
            <w:shd w:val="clear" w:color="auto" w:fill="auto"/>
            <w:noWrap/>
            <w:vAlign w:val="center"/>
            <w:hideMark/>
          </w:tcPr>
          <w:p w14:paraId="1170A3A7"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10.500,00</w:t>
            </w:r>
          </w:p>
        </w:tc>
        <w:tc>
          <w:tcPr>
            <w:tcW w:w="1580" w:type="dxa"/>
            <w:tcBorders>
              <w:top w:val="nil"/>
              <w:left w:val="nil"/>
              <w:bottom w:val="single" w:sz="8" w:space="0" w:color="auto"/>
              <w:right w:val="single" w:sz="8" w:space="0" w:color="auto"/>
            </w:tcBorders>
            <w:shd w:val="clear" w:color="auto" w:fill="auto"/>
            <w:noWrap/>
            <w:vAlign w:val="center"/>
            <w:hideMark/>
          </w:tcPr>
          <w:p w14:paraId="2942F1F8"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-5.214.596,60</w:t>
            </w:r>
          </w:p>
        </w:tc>
        <w:tc>
          <w:tcPr>
            <w:tcW w:w="1580" w:type="dxa"/>
            <w:tcBorders>
              <w:top w:val="nil"/>
              <w:left w:val="nil"/>
              <w:bottom w:val="single" w:sz="8" w:space="0" w:color="auto"/>
              <w:right w:val="single" w:sz="8" w:space="0" w:color="auto"/>
            </w:tcBorders>
            <w:shd w:val="clear" w:color="auto" w:fill="auto"/>
            <w:noWrap/>
            <w:vAlign w:val="center"/>
            <w:hideMark/>
          </w:tcPr>
          <w:p w14:paraId="084988B2"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782.230.377,46</w:t>
            </w:r>
          </w:p>
        </w:tc>
        <w:tc>
          <w:tcPr>
            <w:tcW w:w="1120" w:type="dxa"/>
            <w:tcBorders>
              <w:top w:val="nil"/>
              <w:left w:val="nil"/>
              <w:bottom w:val="single" w:sz="8" w:space="0" w:color="auto"/>
              <w:right w:val="single" w:sz="8" w:space="0" w:color="auto"/>
            </w:tcBorders>
            <w:shd w:val="clear" w:color="auto" w:fill="auto"/>
            <w:noWrap/>
            <w:vAlign w:val="center"/>
            <w:hideMark/>
          </w:tcPr>
          <w:p w14:paraId="080DC0B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-0,64</w:t>
            </w:r>
          </w:p>
        </w:tc>
        <w:tc>
          <w:tcPr>
            <w:tcW w:w="960" w:type="dxa"/>
            <w:tcBorders>
              <w:top w:val="nil"/>
              <w:left w:val="nil"/>
              <w:bottom w:val="single" w:sz="8" w:space="0" w:color="auto"/>
              <w:right w:val="single" w:sz="8" w:space="0" w:color="auto"/>
            </w:tcBorders>
            <w:shd w:val="clear" w:color="auto" w:fill="auto"/>
            <w:noWrap/>
            <w:vAlign w:val="center"/>
            <w:hideMark/>
          </w:tcPr>
          <w:p w14:paraId="12A74B8E"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0,67</w:t>
            </w:r>
          </w:p>
        </w:tc>
      </w:tr>
      <w:tr w:rsidR="00CD0BBE" w:rsidRPr="00CD0BBE" w14:paraId="09DB7BE0" w14:textId="77777777" w:rsidTr="00CD0BBE">
        <w:trPr>
          <w:trHeight w:val="54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1F7403B" w14:textId="77777777" w:rsidR="00CD0BBE" w:rsidRPr="00CD0BBE" w:rsidRDefault="00CD0BBE" w:rsidP="00CD0BBE">
            <w:pPr>
              <w:spacing w:after="0" w:line="240" w:lineRule="auto"/>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FEVEREIRO</w:t>
            </w:r>
          </w:p>
        </w:tc>
        <w:tc>
          <w:tcPr>
            <w:tcW w:w="1960" w:type="dxa"/>
            <w:tcBorders>
              <w:top w:val="nil"/>
              <w:left w:val="nil"/>
              <w:bottom w:val="single" w:sz="8" w:space="0" w:color="auto"/>
              <w:right w:val="single" w:sz="8" w:space="0" w:color="auto"/>
            </w:tcBorders>
            <w:shd w:val="clear" w:color="auto" w:fill="auto"/>
            <w:noWrap/>
            <w:vAlign w:val="center"/>
            <w:hideMark/>
          </w:tcPr>
          <w:p w14:paraId="2567E68F"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782.230.377,46</w:t>
            </w:r>
          </w:p>
        </w:tc>
        <w:tc>
          <w:tcPr>
            <w:tcW w:w="1660" w:type="dxa"/>
            <w:tcBorders>
              <w:top w:val="nil"/>
              <w:left w:val="nil"/>
              <w:bottom w:val="single" w:sz="8" w:space="0" w:color="auto"/>
              <w:right w:val="single" w:sz="8" w:space="0" w:color="auto"/>
            </w:tcBorders>
            <w:shd w:val="clear" w:color="auto" w:fill="auto"/>
            <w:noWrap/>
            <w:vAlign w:val="center"/>
            <w:hideMark/>
          </w:tcPr>
          <w:p w14:paraId="1E04CE99"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19.537.848,87</w:t>
            </w:r>
          </w:p>
        </w:tc>
        <w:tc>
          <w:tcPr>
            <w:tcW w:w="1460" w:type="dxa"/>
            <w:tcBorders>
              <w:top w:val="nil"/>
              <w:left w:val="nil"/>
              <w:bottom w:val="single" w:sz="8" w:space="0" w:color="auto"/>
              <w:right w:val="single" w:sz="8" w:space="0" w:color="auto"/>
            </w:tcBorders>
            <w:shd w:val="clear" w:color="auto" w:fill="auto"/>
            <w:noWrap/>
            <w:vAlign w:val="center"/>
            <w:hideMark/>
          </w:tcPr>
          <w:p w14:paraId="39768478"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12.718.274,82</w:t>
            </w:r>
          </w:p>
        </w:tc>
        <w:tc>
          <w:tcPr>
            <w:tcW w:w="1520" w:type="dxa"/>
            <w:tcBorders>
              <w:top w:val="nil"/>
              <w:left w:val="nil"/>
              <w:bottom w:val="single" w:sz="8" w:space="0" w:color="auto"/>
              <w:right w:val="single" w:sz="8" w:space="0" w:color="auto"/>
            </w:tcBorders>
            <w:shd w:val="clear" w:color="auto" w:fill="auto"/>
            <w:noWrap/>
            <w:vAlign w:val="center"/>
            <w:hideMark/>
          </w:tcPr>
          <w:p w14:paraId="12C4D4F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345.049,67</w:t>
            </w:r>
          </w:p>
        </w:tc>
        <w:tc>
          <w:tcPr>
            <w:tcW w:w="1260" w:type="dxa"/>
            <w:tcBorders>
              <w:top w:val="nil"/>
              <w:left w:val="nil"/>
              <w:bottom w:val="single" w:sz="8" w:space="0" w:color="auto"/>
              <w:right w:val="single" w:sz="8" w:space="0" w:color="auto"/>
            </w:tcBorders>
            <w:shd w:val="clear" w:color="auto" w:fill="auto"/>
            <w:noWrap/>
            <w:vAlign w:val="center"/>
            <w:hideMark/>
          </w:tcPr>
          <w:p w14:paraId="242B2515"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9.000,00</w:t>
            </w:r>
          </w:p>
        </w:tc>
        <w:tc>
          <w:tcPr>
            <w:tcW w:w="1580" w:type="dxa"/>
            <w:tcBorders>
              <w:top w:val="nil"/>
              <w:left w:val="nil"/>
              <w:bottom w:val="single" w:sz="8" w:space="0" w:color="auto"/>
              <w:right w:val="single" w:sz="8" w:space="0" w:color="auto"/>
            </w:tcBorders>
            <w:shd w:val="clear" w:color="auto" w:fill="auto"/>
            <w:noWrap/>
            <w:vAlign w:val="center"/>
            <w:hideMark/>
          </w:tcPr>
          <w:p w14:paraId="263A5B31"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-5.293.322,99</w:t>
            </w:r>
          </w:p>
        </w:tc>
        <w:tc>
          <w:tcPr>
            <w:tcW w:w="1580" w:type="dxa"/>
            <w:tcBorders>
              <w:top w:val="nil"/>
              <w:left w:val="nil"/>
              <w:bottom w:val="single" w:sz="8" w:space="0" w:color="auto"/>
              <w:right w:val="single" w:sz="8" w:space="0" w:color="auto"/>
            </w:tcBorders>
            <w:shd w:val="clear" w:color="auto" w:fill="auto"/>
            <w:noWrap/>
            <w:vAlign w:val="center"/>
            <w:hideMark/>
          </w:tcPr>
          <w:p w14:paraId="27C921FF"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783.411.578,85</w:t>
            </w:r>
          </w:p>
        </w:tc>
        <w:tc>
          <w:tcPr>
            <w:tcW w:w="1120" w:type="dxa"/>
            <w:tcBorders>
              <w:top w:val="nil"/>
              <w:left w:val="nil"/>
              <w:bottom w:val="single" w:sz="8" w:space="0" w:color="auto"/>
              <w:right w:val="single" w:sz="8" w:space="0" w:color="auto"/>
            </w:tcBorders>
            <w:shd w:val="clear" w:color="auto" w:fill="auto"/>
            <w:noWrap/>
            <w:vAlign w:val="center"/>
            <w:hideMark/>
          </w:tcPr>
          <w:p w14:paraId="6A29FA24"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-0,65</w:t>
            </w:r>
          </w:p>
        </w:tc>
        <w:tc>
          <w:tcPr>
            <w:tcW w:w="960" w:type="dxa"/>
            <w:tcBorders>
              <w:top w:val="nil"/>
              <w:left w:val="nil"/>
              <w:bottom w:val="single" w:sz="8" w:space="0" w:color="auto"/>
              <w:right w:val="single" w:sz="8" w:space="0" w:color="auto"/>
            </w:tcBorders>
            <w:shd w:val="clear" w:color="auto" w:fill="auto"/>
            <w:noWrap/>
            <w:vAlign w:val="center"/>
            <w:hideMark/>
          </w:tcPr>
          <w:p w14:paraId="676E345B"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1,24</w:t>
            </w:r>
          </w:p>
        </w:tc>
      </w:tr>
      <w:tr w:rsidR="00CD0BBE" w:rsidRPr="00CD0BBE" w14:paraId="19D2E0D0" w14:textId="77777777" w:rsidTr="00CD0BBE">
        <w:trPr>
          <w:trHeight w:val="54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42BFAAB" w14:textId="77777777" w:rsidR="00CD0BBE" w:rsidRPr="00CD0BBE" w:rsidRDefault="00CD0BBE" w:rsidP="00CD0BBE">
            <w:pPr>
              <w:spacing w:after="0" w:line="240" w:lineRule="auto"/>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MARÇO</w:t>
            </w:r>
          </w:p>
        </w:tc>
        <w:tc>
          <w:tcPr>
            <w:tcW w:w="1960" w:type="dxa"/>
            <w:tcBorders>
              <w:top w:val="nil"/>
              <w:left w:val="nil"/>
              <w:bottom w:val="single" w:sz="8" w:space="0" w:color="auto"/>
              <w:right w:val="single" w:sz="8" w:space="0" w:color="auto"/>
            </w:tcBorders>
            <w:shd w:val="clear" w:color="auto" w:fill="auto"/>
            <w:noWrap/>
            <w:vAlign w:val="center"/>
            <w:hideMark/>
          </w:tcPr>
          <w:p w14:paraId="663C5819"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783.411.578,85</w:t>
            </w:r>
          </w:p>
        </w:tc>
        <w:tc>
          <w:tcPr>
            <w:tcW w:w="1660" w:type="dxa"/>
            <w:tcBorders>
              <w:top w:val="nil"/>
              <w:left w:val="nil"/>
              <w:bottom w:val="single" w:sz="8" w:space="0" w:color="auto"/>
              <w:right w:val="single" w:sz="8" w:space="0" w:color="auto"/>
            </w:tcBorders>
            <w:shd w:val="clear" w:color="auto" w:fill="auto"/>
            <w:noWrap/>
            <w:vAlign w:val="center"/>
            <w:hideMark/>
          </w:tcPr>
          <w:p w14:paraId="340C9917"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18.516.164,77</w:t>
            </w:r>
          </w:p>
        </w:tc>
        <w:tc>
          <w:tcPr>
            <w:tcW w:w="1460" w:type="dxa"/>
            <w:tcBorders>
              <w:top w:val="nil"/>
              <w:left w:val="nil"/>
              <w:bottom w:val="single" w:sz="8" w:space="0" w:color="auto"/>
              <w:right w:val="single" w:sz="8" w:space="0" w:color="auto"/>
            </w:tcBorders>
            <w:shd w:val="clear" w:color="auto" w:fill="auto"/>
            <w:noWrap/>
            <w:vAlign w:val="center"/>
            <w:hideMark/>
          </w:tcPr>
          <w:p w14:paraId="6259D14F"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10.129.161,28</w:t>
            </w:r>
          </w:p>
        </w:tc>
        <w:tc>
          <w:tcPr>
            <w:tcW w:w="1520" w:type="dxa"/>
            <w:tcBorders>
              <w:top w:val="nil"/>
              <w:left w:val="nil"/>
              <w:bottom w:val="single" w:sz="8" w:space="0" w:color="auto"/>
              <w:right w:val="single" w:sz="8" w:space="0" w:color="auto"/>
            </w:tcBorders>
            <w:shd w:val="clear" w:color="auto" w:fill="auto"/>
            <w:noWrap/>
            <w:vAlign w:val="center"/>
            <w:hideMark/>
          </w:tcPr>
          <w:p w14:paraId="2ABFA841"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15A69650"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9.000,00</w:t>
            </w:r>
          </w:p>
        </w:tc>
        <w:tc>
          <w:tcPr>
            <w:tcW w:w="1580" w:type="dxa"/>
            <w:tcBorders>
              <w:top w:val="nil"/>
              <w:left w:val="nil"/>
              <w:bottom w:val="single" w:sz="8" w:space="0" w:color="auto"/>
              <w:right w:val="single" w:sz="8" w:space="0" w:color="auto"/>
            </w:tcBorders>
            <w:shd w:val="clear" w:color="auto" w:fill="auto"/>
            <w:noWrap/>
            <w:vAlign w:val="center"/>
            <w:hideMark/>
          </w:tcPr>
          <w:p w14:paraId="32E14697"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6.746.965,65</w:t>
            </w:r>
          </w:p>
        </w:tc>
        <w:tc>
          <w:tcPr>
            <w:tcW w:w="1580" w:type="dxa"/>
            <w:tcBorders>
              <w:top w:val="nil"/>
              <w:left w:val="nil"/>
              <w:bottom w:val="single" w:sz="8" w:space="0" w:color="auto"/>
              <w:right w:val="single" w:sz="8" w:space="0" w:color="auto"/>
            </w:tcBorders>
            <w:shd w:val="clear" w:color="auto" w:fill="auto"/>
            <w:noWrap/>
            <w:vAlign w:val="center"/>
            <w:hideMark/>
          </w:tcPr>
          <w:p w14:paraId="075DEC4B"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798.545.547,99</w:t>
            </w:r>
          </w:p>
        </w:tc>
        <w:tc>
          <w:tcPr>
            <w:tcW w:w="1120" w:type="dxa"/>
            <w:tcBorders>
              <w:top w:val="nil"/>
              <w:left w:val="nil"/>
              <w:bottom w:val="single" w:sz="8" w:space="0" w:color="auto"/>
              <w:right w:val="single" w:sz="8" w:space="0" w:color="auto"/>
            </w:tcBorders>
            <w:shd w:val="clear" w:color="auto" w:fill="auto"/>
            <w:noWrap/>
            <w:vAlign w:val="center"/>
            <w:hideMark/>
          </w:tcPr>
          <w:p w14:paraId="393EC021"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0,87</w:t>
            </w:r>
          </w:p>
        </w:tc>
        <w:tc>
          <w:tcPr>
            <w:tcW w:w="960" w:type="dxa"/>
            <w:tcBorders>
              <w:top w:val="nil"/>
              <w:left w:val="nil"/>
              <w:bottom w:val="single" w:sz="8" w:space="0" w:color="auto"/>
              <w:right w:val="single" w:sz="8" w:space="0" w:color="auto"/>
            </w:tcBorders>
            <w:shd w:val="clear" w:color="auto" w:fill="auto"/>
            <w:noWrap/>
            <w:vAlign w:val="center"/>
            <w:hideMark/>
          </w:tcPr>
          <w:p w14:paraId="375D8562"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1,42</w:t>
            </w:r>
          </w:p>
        </w:tc>
      </w:tr>
      <w:tr w:rsidR="00CD0BBE" w:rsidRPr="00CD0BBE" w14:paraId="36C4F556" w14:textId="77777777" w:rsidTr="00CD0BBE">
        <w:trPr>
          <w:trHeight w:val="54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A0747BB" w14:textId="77777777" w:rsidR="00CD0BBE" w:rsidRPr="00CD0BBE" w:rsidRDefault="00CD0BBE" w:rsidP="00CD0BBE">
            <w:pPr>
              <w:spacing w:after="0" w:line="240" w:lineRule="auto"/>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ABRIL</w:t>
            </w:r>
          </w:p>
        </w:tc>
        <w:tc>
          <w:tcPr>
            <w:tcW w:w="1960" w:type="dxa"/>
            <w:tcBorders>
              <w:top w:val="nil"/>
              <w:left w:val="nil"/>
              <w:bottom w:val="single" w:sz="8" w:space="0" w:color="auto"/>
              <w:right w:val="single" w:sz="8" w:space="0" w:color="auto"/>
            </w:tcBorders>
            <w:shd w:val="clear" w:color="auto" w:fill="auto"/>
            <w:noWrap/>
            <w:vAlign w:val="center"/>
            <w:hideMark/>
          </w:tcPr>
          <w:p w14:paraId="1457A54E"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798.545.547,99</w:t>
            </w:r>
          </w:p>
        </w:tc>
        <w:tc>
          <w:tcPr>
            <w:tcW w:w="1660" w:type="dxa"/>
            <w:tcBorders>
              <w:top w:val="nil"/>
              <w:left w:val="nil"/>
              <w:bottom w:val="single" w:sz="8" w:space="0" w:color="auto"/>
              <w:right w:val="single" w:sz="8" w:space="0" w:color="auto"/>
            </w:tcBorders>
            <w:shd w:val="clear" w:color="auto" w:fill="auto"/>
            <w:noWrap/>
            <w:vAlign w:val="center"/>
            <w:hideMark/>
          </w:tcPr>
          <w:p w14:paraId="016D690C"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47.491.220,00</w:t>
            </w:r>
          </w:p>
        </w:tc>
        <w:tc>
          <w:tcPr>
            <w:tcW w:w="1460" w:type="dxa"/>
            <w:tcBorders>
              <w:top w:val="nil"/>
              <w:left w:val="nil"/>
              <w:bottom w:val="single" w:sz="8" w:space="0" w:color="auto"/>
              <w:right w:val="single" w:sz="8" w:space="0" w:color="auto"/>
            </w:tcBorders>
            <w:shd w:val="clear" w:color="auto" w:fill="auto"/>
            <w:noWrap/>
            <w:vAlign w:val="center"/>
            <w:hideMark/>
          </w:tcPr>
          <w:p w14:paraId="5D639E51"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39.712.357,12</w:t>
            </w:r>
          </w:p>
        </w:tc>
        <w:tc>
          <w:tcPr>
            <w:tcW w:w="1520" w:type="dxa"/>
            <w:tcBorders>
              <w:top w:val="nil"/>
              <w:left w:val="nil"/>
              <w:bottom w:val="single" w:sz="8" w:space="0" w:color="auto"/>
              <w:right w:val="single" w:sz="8" w:space="0" w:color="auto"/>
            </w:tcBorders>
            <w:shd w:val="clear" w:color="auto" w:fill="auto"/>
            <w:noWrap/>
            <w:vAlign w:val="center"/>
            <w:hideMark/>
          </w:tcPr>
          <w:p w14:paraId="51BD62A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697F05DF"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9.000,00</w:t>
            </w:r>
          </w:p>
        </w:tc>
        <w:tc>
          <w:tcPr>
            <w:tcW w:w="1580" w:type="dxa"/>
            <w:tcBorders>
              <w:top w:val="nil"/>
              <w:left w:val="nil"/>
              <w:bottom w:val="single" w:sz="8" w:space="0" w:color="auto"/>
              <w:right w:val="single" w:sz="8" w:space="0" w:color="auto"/>
            </w:tcBorders>
            <w:shd w:val="clear" w:color="auto" w:fill="auto"/>
            <w:noWrap/>
            <w:vAlign w:val="center"/>
            <w:hideMark/>
          </w:tcPr>
          <w:p w14:paraId="49112E5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14.043.393,48</w:t>
            </w:r>
          </w:p>
        </w:tc>
        <w:tc>
          <w:tcPr>
            <w:tcW w:w="1580" w:type="dxa"/>
            <w:tcBorders>
              <w:top w:val="nil"/>
              <w:left w:val="nil"/>
              <w:bottom w:val="single" w:sz="8" w:space="0" w:color="auto"/>
              <w:right w:val="single" w:sz="8" w:space="0" w:color="auto"/>
            </w:tcBorders>
            <w:shd w:val="clear" w:color="auto" w:fill="auto"/>
            <w:noWrap/>
            <w:vAlign w:val="center"/>
            <w:hideMark/>
          </w:tcPr>
          <w:p w14:paraId="332C1394"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820.367.804,35</w:t>
            </w:r>
          </w:p>
        </w:tc>
        <w:tc>
          <w:tcPr>
            <w:tcW w:w="1120" w:type="dxa"/>
            <w:tcBorders>
              <w:top w:val="nil"/>
              <w:left w:val="nil"/>
              <w:bottom w:val="single" w:sz="8" w:space="0" w:color="auto"/>
              <w:right w:val="single" w:sz="8" w:space="0" w:color="auto"/>
            </w:tcBorders>
            <w:shd w:val="clear" w:color="auto" w:fill="auto"/>
            <w:noWrap/>
            <w:vAlign w:val="center"/>
            <w:hideMark/>
          </w:tcPr>
          <w:p w14:paraId="3CF7E949"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1,73</w:t>
            </w:r>
          </w:p>
        </w:tc>
        <w:tc>
          <w:tcPr>
            <w:tcW w:w="960" w:type="dxa"/>
            <w:tcBorders>
              <w:top w:val="nil"/>
              <w:left w:val="nil"/>
              <w:bottom w:val="single" w:sz="8" w:space="0" w:color="auto"/>
              <w:right w:val="single" w:sz="8" w:space="0" w:color="auto"/>
            </w:tcBorders>
            <w:shd w:val="clear" w:color="auto" w:fill="auto"/>
            <w:noWrap/>
            <w:vAlign w:val="center"/>
            <w:hideMark/>
          </w:tcPr>
          <w:p w14:paraId="0DBD6B2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0,73</w:t>
            </w:r>
          </w:p>
        </w:tc>
      </w:tr>
      <w:tr w:rsidR="00CD0BBE" w:rsidRPr="00CD0BBE" w14:paraId="4B37F947" w14:textId="77777777" w:rsidTr="00CD0BBE">
        <w:trPr>
          <w:trHeight w:val="54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D04BE3B" w14:textId="77777777" w:rsidR="00CD0BBE" w:rsidRPr="00CD0BBE" w:rsidRDefault="00CD0BBE" w:rsidP="00CD0BBE">
            <w:pPr>
              <w:spacing w:after="0" w:line="240" w:lineRule="auto"/>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MAIO</w:t>
            </w:r>
          </w:p>
        </w:tc>
        <w:tc>
          <w:tcPr>
            <w:tcW w:w="1960" w:type="dxa"/>
            <w:tcBorders>
              <w:top w:val="nil"/>
              <w:left w:val="nil"/>
              <w:bottom w:val="single" w:sz="8" w:space="0" w:color="auto"/>
              <w:right w:val="single" w:sz="8" w:space="0" w:color="auto"/>
            </w:tcBorders>
            <w:shd w:val="clear" w:color="auto" w:fill="auto"/>
            <w:noWrap/>
            <w:vAlign w:val="center"/>
            <w:hideMark/>
          </w:tcPr>
          <w:p w14:paraId="7A02BD0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820.367.804,35</w:t>
            </w:r>
          </w:p>
        </w:tc>
        <w:tc>
          <w:tcPr>
            <w:tcW w:w="1660" w:type="dxa"/>
            <w:tcBorders>
              <w:top w:val="nil"/>
              <w:left w:val="nil"/>
              <w:bottom w:val="single" w:sz="8" w:space="0" w:color="auto"/>
              <w:right w:val="single" w:sz="8" w:space="0" w:color="auto"/>
            </w:tcBorders>
            <w:shd w:val="clear" w:color="auto" w:fill="auto"/>
            <w:noWrap/>
            <w:vAlign w:val="center"/>
            <w:hideMark/>
          </w:tcPr>
          <w:p w14:paraId="561B2024"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18.028.490,84</w:t>
            </w:r>
          </w:p>
        </w:tc>
        <w:tc>
          <w:tcPr>
            <w:tcW w:w="1460" w:type="dxa"/>
            <w:tcBorders>
              <w:top w:val="nil"/>
              <w:left w:val="nil"/>
              <w:bottom w:val="single" w:sz="8" w:space="0" w:color="auto"/>
              <w:right w:val="single" w:sz="8" w:space="0" w:color="auto"/>
            </w:tcBorders>
            <w:shd w:val="clear" w:color="auto" w:fill="auto"/>
            <w:noWrap/>
            <w:vAlign w:val="center"/>
            <w:hideMark/>
          </w:tcPr>
          <w:p w14:paraId="69ACFA7D"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9.911.856,03</w:t>
            </w:r>
          </w:p>
        </w:tc>
        <w:tc>
          <w:tcPr>
            <w:tcW w:w="1520" w:type="dxa"/>
            <w:tcBorders>
              <w:top w:val="nil"/>
              <w:left w:val="nil"/>
              <w:bottom w:val="single" w:sz="8" w:space="0" w:color="auto"/>
              <w:right w:val="single" w:sz="8" w:space="0" w:color="auto"/>
            </w:tcBorders>
            <w:shd w:val="clear" w:color="auto" w:fill="auto"/>
            <w:noWrap/>
            <w:vAlign w:val="center"/>
            <w:hideMark/>
          </w:tcPr>
          <w:p w14:paraId="2C127F74"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5CB04A26"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9.000,00</w:t>
            </w:r>
          </w:p>
        </w:tc>
        <w:tc>
          <w:tcPr>
            <w:tcW w:w="1580" w:type="dxa"/>
            <w:tcBorders>
              <w:top w:val="nil"/>
              <w:left w:val="nil"/>
              <w:bottom w:val="single" w:sz="8" w:space="0" w:color="auto"/>
              <w:right w:val="single" w:sz="8" w:space="0" w:color="auto"/>
            </w:tcBorders>
            <w:shd w:val="clear" w:color="auto" w:fill="auto"/>
            <w:noWrap/>
            <w:vAlign w:val="center"/>
            <w:hideMark/>
          </w:tcPr>
          <w:p w14:paraId="721978CE"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11.105.054,60</w:t>
            </w:r>
          </w:p>
        </w:tc>
        <w:tc>
          <w:tcPr>
            <w:tcW w:w="1580" w:type="dxa"/>
            <w:tcBorders>
              <w:top w:val="nil"/>
              <w:left w:val="nil"/>
              <w:bottom w:val="single" w:sz="8" w:space="0" w:color="auto"/>
              <w:right w:val="single" w:sz="8" w:space="0" w:color="auto"/>
            </w:tcBorders>
            <w:shd w:val="clear" w:color="auto" w:fill="auto"/>
            <w:noWrap/>
            <w:vAlign w:val="center"/>
            <w:hideMark/>
          </w:tcPr>
          <w:p w14:paraId="563C7158"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839.589.493,76</w:t>
            </w:r>
          </w:p>
        </w:tc>
        <w:tc>
          <w:tcPr>
            <w:tcW w:w="1120" w:type="dxa"/>
            <w:tcBorders>
              <w:top w:val="nil"/>
              <w:left w:val="nil"/>
              <w:bottom w:val="single" w:sz="8" w:space="0" w:color="auto"/>
              <w:right w:val="single" w:sz="8" w:space="0" w:color="auto"/>
            </w:tcBorders>
            <w:shd w:val="clear" w:color="auto" w:fill="auto"/>
            <w:noWrap/>
            <w:vAlign w:val="center"/>
            <w:hideMark/>
          </w:tcPr>
          <w:p w14:paraId="67D51635"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1,33</w:t>
            </w:r>
          </w:p>
        </w:tc>
        <w:tc>
          <w:tcPr>
            <w:tcW w:w="960" w:type="dxa"/>
            <w:tcBorders>
              <w:top w:val="nil"/>
              <w:left w:val="nil"/>
              <w:bottom w:val="single" w:sz="8" w:space="0" w:color="auto"/>
              <w:right w:val="single" w:sz="8" w:space="0" w:color="auto"/>
            </w:tcBorders>
            <w:shd w:val="clear" w:color="auto" w:fill="auto"/>
            <w:noWrap/>
            <w:vAlign w:val="center"/>
            <w:hideMark/>
          </w:tcPr>
          <w:p w14:paraId="74C1D5E7"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1,27</w:t>
            </w:r>
          </w:p>
        </w:tc>
      </w:tr>
      <w:tr w:rsidR="00CD0BBE" w:rsidRPr="00CD0BBE" w14:paraId="7C5BF5DE" w14:textId="77777777" w:rsidTr="00CD0BBE">
        <w:trPr>
          <w:trHeight w:val="54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D62E419" w14:textId="77777777" w:rsidR="00CD0BBE" w:rsidRPr="00CD0BBE" w:rsidRDefault="00CD0BBE" w:rsidP="00CD0BBE">
            <w:pPr>
              <w:spacing w:after="0" w:line="240" w:lineRule="auto"/>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JUNHO</w:t>
            </w:r>
          </w:p>
        </w:tc>
        <w:tc>
          <w:tcPr>
            <w:tcW w:w="1960" w:type="dxa"/>
            <w:tcBorders>
              <w:top w:val="nil"/>
              <w:left w:val="nil"/>
              <w:bottom w:val="single" w:sz="8" w:space="0" w:color="auto"/>
              <w:right w:val="single" w:sz="8" w:space="0" w:color="auto"/>
            </w:tcBorders>
            <w:shd w:val="clear" w:color="auto" w:fill="auto"/>
            <w:noWrap/>
            <w:vAlign w:val="center"/>
            <w:hideMark/>
          </w:tcPr>
          <w:p w14:paraId="15D55B9E"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839.589.493,76</w:t>
            </w:r>
          </w:p>
        </w:tc>
        <w:tc>
          <w:tcPr>
            <w:tcW w:w="1660" w:type="dxa"/>
            <w:tcBorders>
              <w:top w:val="nil"/>
              <w:left w:val="nil"/>
              <w:bottom w:val="single" w:sz="8" w:space="0" w:color="auto"/>
              <w:right w:val="single" w:sz="8" w:space="0" w:color="auto"/>
            </w:tcBorders>
            <w:shd w:val="clear" w:color="auto" w:fill="auto"/>
            <w:noWrap/>
            <w:vAlign w:val="center"/>
            <w:hideMark/>
          </w:tcPr>
          <w:p w14:paraId="35286948"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23.113.420,36</w:t>
            </w:r>
          </w:p>
        </w:tc>
        <w:tc>
          <w:tcPr>
            <w:tcW w:w="1460" w:type="dxa"/>
            <w:tcBorders>
              <w:top w:val="nil"/>
              <w:left w:val="nil"/>
              <w:bottom w:val="single" w:sz="8" w:space="0" w:color="auto"/>
              <w:right w:val="single" w:sz="8" w:space="0" w:color="auto"/>
            </w:tcBorders>
            <w:shd w:val="clear" w:color="auto" w:fill="auto"/>
            <w:noWrap/>
            <w:vAlign w:val="center"/>
            <w:hideMark/>
          </w:tcPr>
          <w:p w14:paraId="6A5BC16D"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16.467.717,47</w:t>
            </w:r>
          </w:p>
        </w:tc>
        <w:tc>
          <w:tcPr>
            <w:tcW w:w="1520" w:type="dxa"/>
            <w:tcBorders>
              <w:top w:val="nil"/>
              <w:left w:val="nil"/>
              <w:bottom w:val="single" w:sz="8" w:space="0" w:color="auto"/>
              <w:right w:val="single" w:sz="8" w:space="0" w:color="auto"/>
            </w:tcBorders>
            <w:shd w:val="clear" w:color="auto" w:fill="auto"/>
            <w:noWrap/>
            <w:vAlign w:val="center"/>
            <w:hideMark/>
          </w:tcPr>
          <w:p w14:paraId="5D185D5E"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0AC2D923"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8.100,00</w:t>
            </w:r>
          </w:p>
        </w:tc>
        <w:tc>
          <w:tcPr>
            <w:tcW w:w="1580" w:type="dxa"/>
            <w:tcBorders>
              <w:top w:val="nil"/>
              <w:left w:val="nil"/>
              <w:bottom w:val="single" w:sz="8" w:space="0" w:color="auto"/>
              <w:right w:val="single" w:sz="8" w:space="0" w:color="auto"/>
            </w:tcBorders>
            <w:shd w:val="clear" w:color="auto" w:fill="auto"/>
            <w:noWrap/>
            <w:vAlign w:val="center"/>
            <w:hideMark/>
          </w:tcPr>
          <w:p w14:paraId="7010BC19"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3.978.175,35</w:t>
            </w:r>
          </w:p>
        </w:tc>
        <w:tc>
          <w:tcPr>
            <w:tcW w:w="1580" w:type="dxa"/>
            <w:tcBorders>
              <w:top w:val="nil"/>
              <w:left w:val="nil"/>
              <w:bottom w:val="single" w:sz="8" w:space="0" w:color="auto"/>
              <w:right w:val="nil"/>
            </w:tcBorders>
            <w:shd w:val="clear" w:color="auto" w:fill="auto"/>
            <w:noWrap/>
            <w:vAlign w:val="center"/>
            <w:hideMark/>
          </w:tcPr>
          <w:p w14:paraId="4D0D079D"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850.213.372,00</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7E9E7AF"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0,47</w:t>
            </w:r>
          </w:p>
        </w:tc>
        <w:tc>
          <w:tcPr>
            <w:tcW w:w="960" w:type="dxa"/>
            <w:tcBorders>
              <w:top w:val="nil"/>
              <w:left w:val="nil"/>
              <w:bottom w:val="single" w:sz="8" w:space="0" w:color="auto"/>
              <w:right w:val="single" w:sz="8" w:space="0" w:color="auto"/>
            </w:tcBorders>
            <w:shd w:val="clear" w:color="auto" w:fill="auto"/>
            <w:noWrap/>
            <w:vAlign w:val="center"/>
            <w:hideMark/>
          </w:tcPr>
          <w:p w14:paraId="3369C94A"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0,91</w:t>
            </w:r>
          </w:p>
        </w:tc>
      </w:tr>
      <w:tr w:rsidR="00CD0BBE" w:rsidRPr="00CD0BBE" w14:paraId="170727D4" w14:textId="77777777" w:rsidTr="00CD0BBE">
        <w:trPr>
          <w:trHeight w:val="540"/>
        </w:trPr>
        <w:tc>
          <w:tcPr>
            <w:tcW w:w="9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F44B9E" w14:textId="77777777" w:rsidR="00CD0BBE" w:rsidRPr="00CD0BBE" w:rsidRDefault="00CD0BBE" w:rsidP="00CD0BBE">
            <w:pPr>
              <w:spacing w:after="0" w:line="240" w:lineRule="auto"/>
              <w:rPr>
                <w:rFonts w:ascii="Arial Narrow" w:eastAsia="Times New Roman" w:hAnsi="Arial Narrow" w:cs="Times New Roman"/>
                <w:b/>
                <w:bCs/>
                <w:color w:val="000000"/>
                <w:sz w:val="20"/>
                <w:szCs w:val="20"/>
              </w:rPr>
            </w:pPr>
            <w:r w:rsidRPr="00CD0BBE">
              <w:rPr>
                <w:rFonts w:ascii="Arial Narrow" w:eastAsia="Times New Roman" w:hAnsi="Arial Narrow" w:cs="Times New Roman"/>
                <w:b/>
                <w:bCs/>
                <w:color w:val="000000"/>
                <w:sz w:val="20"/>
                <w:szCs w:val="20"/>
              </w:rPr>
              <w:t>TOTAL RETORNO</w:t>
            </w:r>
          </w:p>
        </w:tc>
        <w:tc>
          <w:tcPr>
            <w:tcW w:w="1580" w:type="dxa"/>
            <w:tcBorders>
              <w:top w:val="nil"/>
              <w:left w:val="nil"/>
              <w:bottom w:val="single" w:sz="8" w:space="0" w:color="auto"/>
              <w:right w:val="single" w:sz="8" w:space="0" w:color="auto"/>
            </w:tcBorders>
            <w:shd w:val="clear" w:color="auto" w:fill="auto"/>
            <w:noWrap/>
            <w:vAlign w:val="center"/>
            <w:hideMark/>
          </w:tcPr>
          <w:p w14:paraId="2D05E3E9"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r w:rsidRPr="00CD0BBE">
              <w:rPr>
                <w:rFonts w:ascii="Arial Narrow" w:eastAsia="Times New Roman" w:hAnsi="Arial Narrow" w:cs="Times New Roman"/>
                <w:color w:val="000000"/>
                <w:sz w:val="20"/>
                <w:szCs w:val="20"/>
              </w:rPr>
              <w:t>25.365.669,49</w:t>
            </w:r>
          </w:p>
        </w:tc>
        <w:tc>
          <w:tcPr>
            <w:tcW w:w="1580" w:type="dxa"/>
            <w:tcBorders>
              <w:top w:val="nil"/>
              <w:left w:val="nil"/>
              <w:bottom w:val="nil"/>
              <w:right w:val="nil"/>
            </w:tcBorders>
            <w:shd w:val="clear" w:color="auto" w:fill="auto"/>
            <w:noWrap/>
            <w:vAlign w:val="center"/>
            <w:hideMark/>
          </w:tcPr>
          <w:p w14:paraId="560530B1" w14:textId="77777777" w:rsidR="00CD0BBE" w:rsidRPr="00CD0BBE" w:rsidRDefault="00CD0BBE" w:rsidP="00CD0BBE">
            <w:pPr>
              <w:spacing w:after="0" w:line="240" w:lineRule="auto"/>
              <w:jc w:val="center"/>
              <w:rPr>
                <w:rFonts w:ascii="Arial Narrow" w:eastAsia="Times New Roman" w:hAnsi="Arial Narrow" w:cs="Times New Roman"/>
                <w:color w:val="000000"/>
                <w:sz w:val="20"/>
                <w:szCs w:val="20"/>
              </w:rPr>
            </w:pPr>
          </w:p>
        </w:tc>
        <w:tc>
          <w:tcPr>
            <w:tcW w:w="1120" w:type="dxa"/>
            <w:tcBorders>
              <w:top w:val="nil"/>
              <w:left w:val="nil"/>
              <w:bottom w:val="nil"/>
              <w:right w:val="nil"/>
            </w:tcBorders>
            <w:shd w:val="clear" w:color="auto" w:fill="auto"/>
            <w:noWrap/>
            <w:vAlign w:val="center"/>
            <w:hideMark/>
          </w:tcPr>
          <w:p w14:paraId="2029E858" w14:textId="77777777" w:rsidR="00CD0BBE" w:rsidRPr="00CD0BBE" w:rsidRDefault="00CD0BBE" w:rsidP="00CD0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2C33CFB" w14:textId="77777777" w:rsidR="00CD0BBE" w:rsidRPr="00CD0BBE" w:rsidRDefault="00CD0BBE" w:rsidP="00CD0BBE">
            <w:pPr>
              <w:spacing w:after="0" w:line="240" w:lineRule="auto"/>
              <w:rPr>
                <w:rFonts w:ascii="Times New Roman" w:eastAsia="Times New Roman" w:hAnsi="Times New Roman" w:cs="Times New Roman"/>
                <w:sz w:val="20"/>
                <w:szCs w:val="20"/>
              </w:rPr>
            </w:pPr>
          </w:p>
        </w:tc>
      </w:tr>
    </w:tbl>
    <w:p w14:paraId="088F9DCE" w14:textId="77777777" w:rsidR="00AB1E29" w:rsidRPr="009210FB" w:rsidRDefault="00AB1E29" w:rsidP="00ED240C">
      <w:pPr>
        <w:pStyle w:val="Estilopadro"/>
        <w:spacing w:after="0" w:line="360" w:lineRule="auto"/>
        <w:jc w:val="both"/>
        <w:rPr>
          <w:rFonts w:ascii="Arial" w:hAnsi="Arial" w:cs="Arial"/>
          <w:b/>
          <w:bCs/>
          <w:color w:val="000000" w:themeColor="text1"/>
          <w:sz w:val="24"/>
          <w:szCs w:val="24"/>
        </w:rPr>
      </w:pPr>
    </w:p>
    <w:p w14:paraId="08A58B48" w14:textId="77777777" w:rsidR="00ED240C" w:rsidRPr="009210FB" w:rsidRDefault="00ED240C" w:rsidP="00ED240C">
      <w:pPr>
        <w:pStyle w:val="Estilopadro"/>
        <w:spacing w:after="0" w:line="360" w:lineRule="auto"/>
        <w:jc w:val="both"/>
        <w:rPr>
          <w:rFonts w:ascii="Arial" w:hAnsi="Arial" w:cs="Arial"/>
          <w:b/>
          <w:bCs/>
          <w:color w:val="000000" w:themeColor="text1"/>
          <w:sz w:val="24"/>
          <w:szCs w:val="24"/>
        </w:rPr>
      </w:pPr>
      <w:r w:rsidRPr="009210FB">
        <w:rPr>
          <w:rFonts w:ascii="Arial" w:hAnsi="Arial" w:cs="Arial"/>
          <w:b/>
          <w:bCs/>
          <w:color w:val="000000" w:themeColor="text1"/>
          <w:sz w:val="24"/>
          <w:szCs w:val="24"/>
        </w:rPr>
        <w:t xml:space="preserve">Tabela 04: </w:t>
      </w:r>
      <w:r w:rsidR="00D25925" w:rsidRPr="009210FB">
        <w:rPr>
          <w:rFonts w:ascii="Arial" w:hAnsi="Arial" w:cs="Arial"/>
          <w:b/>
          <w:bCs/>
          <w:color w:val="000000" w:themeColor="text1"/>
          <w:sz w:val="24"/>
          <w:szCs w:val="24"/>
        </w:rPr>
        <w:t>Fundos Credenciados</w:t>
      </w:r>
      <w:r w:rsidRPr="009210FB">
        <w:rPr>
          <w:rFonts w:ascii="Arial" w:hAnsi="Arial" w:cs="Arial"/>
          <w:b/>
          <w:bCs/>
          <w:color w:val="000000" w:themeColor="text1"/>
          <w:sz w:val="24"/>
          <w:szCs w:val="24"/>
        </w:rPr>
        <w:t>:</w:t>
      </w: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4393"/>
        <w:gridCol w:w="2022"/>
        <w:gridCol w:w="2434"/>
        <w:gridCol w:w="2434"/>
      </w:tblGrid>
      <w:tr w:rsidR="00D740BC" w:rsidRPr="009210FB" w14:paraId="1F679202" w14:textId="77777777" w:rsidTr="005E08EC">
        <w:trPr>
          <w:trHeight w:val="765"/>
        </w:trPr>
        <w:tc>
          <w:tcPr>
            <w:tcW w:w="1987" w:type="dxa"/>
            <w:shd w:val="clear" w:color="000000" w:fill="D0CECE"/>
            <w:vAlign w:val="center"/>
            <w:hideMark/>
          </w:tcPr>
          <w:p w14:paraId="51DCF969" w14:textId="77777777" w:rsidR="00D740BC" w:rsidRPr="00D740BC" w:rsidRDefault="00D740BC" w:rsidP="0076652E">
            <w:pPr>
              <w:spacing w:after="0" w:line="240" w:lineRule="auto"/>
              <w:jc w:val="center"/>
              <w:rPr>
                <w:rFonts w:ascii="Arial" w:eastAsia="Times New Roman" w:hAnsi="Arial" w:cs="Arial"/>
                <w:b/>
                <w:bCs/>
                <w:color w:val="000000"/>
                <w:sz w:val="24"/>
                <w:szCs w:val="24"/>
              </w:rPr>
            </w:pPr>
            <w:r w:rsidRPr="00D740BC">
              <w:rPr>
                <w:rFonts w:ascii="Arial" w:eastAsia="Times New Roman" w:hAnsi="Arial" w:cs="Arial"/>
                <w:b/>
                <w:bCs/>
                <w:color w:val="000000"/>
                <w:sz w:val="24"/>
                <w:szCs w:val="24"/>
              </w:rPr>
              <w:t>Artigo - enquadramento</w:t>
            </w:r>
          </w:p>
        </w:tc>
        <w:tc>
          <w:tcPr>
            <w:tcW w:w="4393" w:type="dxa"/>
            <w:shd w:val="clear" w:color="000000" w:fill="D0CECE"/>
            <w:noWrap/>
            <w:vAlign w:val="center"/>
            <w:hideMark/>
          </w:tcPr>
          <w:p w14:paraId="25590A16" w14:textId="77777777" w:rsidR="00D740BC" w:rsidRPr="00D740BC" w:rsidRDefault="00D740BC" w:rsidP="0076652E">
            <w:pPr>
              <w:spacing w:after="0" w:line="240" w:lineRule="auto"/>
              <w:jc w:val="center"/>
              <w:rPr>
                <w:rFonts w:ascii="Arial" w:eastAsia="Times New Roman" w:hAnsi="Arial" w:cs="Arial"/>
                <w:b/>
                <w:bCs/>
                <w:color w:val="000000"/>
                <w:sz w:val="24"/>
                <w:szCs w:val="24"/>
              </w:rPr>
            </w:pPr>
            <w:r w:rsidRPr="00D740BC">
              <w:rPr>
                <w:rFonts w:ascii="Arial" w:eastAsia="Times New Roman" w:hAnsi="Arial" w:cs="Arial"/>
                <w:b/>
                <w:bCs/>
                <w:color w:val="000000"/>
                <w:sz w:val="24"/>
                <w:szCs w:val="24"/>
              </w:rPr>
              <w:t>NOME</w:t>
            </w:r>
          </w:p>
        </w:tc>
        <w:tc>
          <w:tcPr>
            <w:tcW w:w="2022" w:type="dxa"/>
            <w:shd w:val="clear" w:color="000000" w:fill="D0CECE"/>
            <w:noWrap/>
            <w:vAlign w:val="center"/>
            <w:hideMark/>
          </w:tcPr>
          <w:p w14:paraId="63E4B8C5" w14:textId="77777777" w:rsidR="00D740BC" w:rsidRPr="00D740BC" w:rsidRDefault="00D740BC" w:rsidP="0076652E">
            <w:pPr>
              <w:spacing w:after="0" w:line="240" w:lineRule="auto"/>
              <w:jc w:val="center"/>
              <w:rPr>
                <w:rFonts w:ascii="Arial" w:eastAsia="Times New Roman" w:hAnsi="Arial" w:cs="Arial"/>
                <w:b/>
                <w:bCs/>
                <w:color w:val="000000"/>
                <w:sz w:val="24"/>
                <w:szCs w:val="24"/>
              </w:rPr>
            </w:pPr>
            <w:r w:rsidRPr="00D740BC">
              <w:rPr>
                <w:rFonts w:ascii="Arial" w:eastAsia="Times New Roman" w:hAnsi="Arial" w:cs="Arial"/>
                <w:b/>
                <w:bCs/>
                <w:color w:val="000000"/>
                <w:sz w:val="24"/>
                <w:szCs w:val="24"/>
              </w:rPr>
              <w:t>CNPJ</w:t>
            </w:r>
          </w:p>
        </w:tc>
        <w:tc>
          <w:tcPr>
            <w:tcW w:w="2434" w:type="dxa"/>
            <w:shd w:val="clear" w:color="000000" w:fill="D0CECE"/>
            <w:vAlign w:val="center"/>
            <w:hideMark/>
          </w:tcPr>
          <w:p w14:paraId="5891420B" w14:textId="77777777" w:rsidR="00D740BC" w:rsidRPr="00D740BC" w:rsidRDefault="00D740BC" w:rsidP="0076652E">
            <w:pPr>
              <w:spacing w:after="0" w:line="240" w:lineRule="auto"/>
              <w:jc w:val="center"/>
              <w:rPr>
                <w:rFonts w:ascii="Arial" w:eastAsia="Times New Roman" w:hAnsi="Arial" w:cs="Arial"/>
                <w:b/>
                <w:bCs/>
                <w:color w:val="000000"/>
                <w:sz w:val="24"/>
                <w:szCs w:val="24"/>
              </w:rPr>
            </w:pPr>
            <w:r w:rsidRPr="00D740BC">
              <w:rPr>
                <w:rFonts w:ascii="Arial" w:eastAsia="Times New Roman" w:hAnsi="Arial" w:cs="Arial"/>
                <w:b/>
                <w:bCs/>
                <w:color w:val="000000"/>
                <w:sz w:val="24"/>
                <w:szCs w:val="24"/>
              </w:rPr>
              <w:t>DATA CREDENCIAMENTO</w:t>
            </w:r>
          </w:p>
        </w:tc>
        <w:tc>
          <w:tcPr>
            <w:tcW w:w="2434" w:type="dxa"/>
            <w:shd w:val="clear" w:color="000000" w:fill="D0CECE"/>
            <w:vAlign w:val="center"/>
            <w:hideMark/>
          </w:tcPr>
          <w:p w14:paraId="579F9016" w14:textId="77777777" w:rsidR="00D740BC" w:rsidRPr="00D740BC" w:rsidRDefault="00D740BC" w:rsidP="0076652E">
            <w:pPr>
              <w:spacing w:after="0" w:line="240" w:lineRule="auto"/>
              <w:jc w:val="center"/>
              <w:rPr>
                <w:rFonts w:ascii="Arial" w:eastAsia="Times New Roman" w:hAnsi="Arial" w:cs="Arial"/>
                <w:b/>
                <w:bCs/>
                <w:color w:val="000000"/>
                <w:sz w:val="24"/>
                <w:szCs w:val="24"/>
              </w:rPr>
            </w:pPr>
            <w:r w:rsidRPr="00D740BC">
              <w:rPr>
                <w:rFonts w:ascii="Arial" w:eastAsia="Times New Roman" w:hAnsi="Arial" w:cs="Arial"/>
                <w:b/>
                <w:bCs/>
                <w:color w:val="000000"/>
                <w:sz w:val="24"/>
                <w:szCs w:val="24"/>
              </w:rPr>
              <w:t>VALIDADE CREDENCIAMENTO</w:t>
            </w:r>
          </w:p>
        </w:tc>
      </w:tr>
      <w:tr w:rsidR="005E08EC" w:rsidRPr="00D740BC" w14:paraId="06CDD420" w14:textId="77777777" w:rsidTr="005E08EC">
        <w:trPr>
          <w:trHeight w:val="300"/>
        </w:trPr>
        <w:tc>
          <w:tcPr>
            <w:tcW w:w="1987" w:type="dxa"/>
            <w:shd w:val="clear" w:color="auto" w:fill="auto"/>
            <w:noWrap/>
            <w:vAlign w:val="center"/>
            <w:hideMark/>
          </w:tcPr>
          <w:p w14:paraId="63590D6C" w14:textId="77777777" w:rsidR="00D740BC" w:rsidRPr="00D740BC" w:rsidRDefault="00D740BC" w:rsidP="0076652E">
            <w:pPr>
              <w:spacing w:after="0" w:line="240" w:lineRule="auto"/>
              <w:jc w:val="center"/>
              <w:rPr>
                <w:rFonts w:ascii="Arial" w:eastAsia="Times New Roman" w:hAnsi="Arial" w:cs="Arial"/>
                <w:color w:val="212529"/>
                <w:sz w:val="24"/>
                <w:szCs w:val="24"/>
              </w:rPr>
            </w:pPr>
            <w:r w:rsidRPr="00D740BC">
              <w:rPr>
                <w:rFonts w:ascii="Arial" w:eastAsia="Times New Roman" w:hAnsi="Arial" w:cs="Arial"/>
                <w:color w:val="212529"/>
                <w:sz w:val="24"/>
                <w:szCs w:val="24"/>
              </w:rPr>
              <w:t>Artigo 8º IV, Alínea "b"</w:t>
            </w:r>
          </w:p>
        </w:tc>
        <w:tc>
          <w:tcPr>
            <w:tcW w:w="4393" w:type="dxa"/>
            <w:shd w:val="clear" w:color="auto" w:fill="auto"/>
            <w:noWrap/>
            <w:vAlign w:val="center"/>
            <w:hideMark/>
          </w:tcPr>
          <w:p w14:paraId="6A64D900" w14:textId="77777777" w:rsidR="00D740BC" w:rsidRPr="00D740BC" w:rsidRDefault="00D740BC" w:rsidP="0076652E">
            <w:pPr>
              <w:spacing w:after="0" w:line="240" w:lineRule="auto"/>
              <w:jc w:val="center"/>
              <w:rPr>
                <w:rFonts w:ascii="Arial" w:eastAsia="Times New Roman" w:hAnsi="Arial" w:cs="Arial"/>
                <w:color w:val="000000"/>
                <w:sz w:val="24"/>
                <w:szCs w:val="24"/>
              </w:rPr>
            </w:pPr>
            <w:r w:rsidRPr="00D740BC">
              <w:rPr>
                <w:rFonts w:ascii="Arial" w:eastAsia="Times New Roman" w:hAnsi="Arial" w:cs="Arial"/>
                <w:color w:val="000000"/>
                <w:sz w:val="24"/>
                <w:szCs w:val="24"/>
              </w:rPr>
              <w:t>CAIXA RIO BRAVO FUNDO DE FUNDOS FII - CXRI11</w:t>
            </w:r>
          </w:p>
        </w:tc>
        <w:tc>
          <w:tcPr>
            <w:tcW w:w="2022" w:type="dxa"/>
            <w:shd w:val="clear" w:color="auto" w:fill="auto"/>
            <w:vAlign w:val="center"/>
            <w:hideMark/>
          </w:tcPr>
          <w:p w14:paraId="39E5BD00" w14:textId="77777777" w:rsidR="00D740BC" w:rsidRPr="00D740BC" w:rsidRDefault="00D740BC" w:rsidP="0076652E">
            <w:pPr>
              <w:spacing w:after="0" w:line="240" w:lineRule="auto"/>
              <w:jc w:val="center"/>
              <w:rPr>
                <w:rFonts w:ascii="Arial" w:eastAsia="Times New Roman" w:hAnsi="Arial" w:cs="Arial"/>
                <w:color w:val="000000"/>
                <w:sz w:val="24"/>
                <w:szCs w:val="24"/>
              </w:rPr>
            </w:pPr>
            <w:r w:rsidRPr="00D740BC">
              <w:rPr>
                <w:rFonts w:ascii="Arial" w:eastAsia="Times New Roman" w:hAnsi="Arial" w:cs="Arial"/>
                <w:color w:val="000000"/>
                <w:sz w:val="24"/>
                <w:szCs w:val="24"/>
              </w:rPr>
              <w:t>17.098.794/0001-70</w:t>
            </w:r>
          </w:p>
        </w:tc>
        <w:tc>
          <w:tcPr>
            <w:tcW w:w="2434" w:type="dxa"/>
            <w:shd w:val="clear" w:color="auto" w:fill="auto"/>
            <w:noWrap/>
            <w:vAlign w:val="center"/>
            <w:hideMark/>
          </w:tcPr>
          <w:p w14:paraId="3D908756" w14:textId="77777777" w:rsidR="00D740BC" w:rsidRPr="00D740BC" w:rsidRDefault="00D740BC" w:rsidP="0076652E">
            <w:pPr>
              <w:spacing w:after="0" w:line="240" w:lineRule="auto"/>
              <w:jc w:val="center"/>
              <w:rPr>
                <w:rFonts w:ascii="Arial" w:eastAsia="Times New Roman" w:hAnsi="Arial" w:cs="Arial"/>
                <w:color w:val="000000"/>
                <w:sz w:val="24"/>
                <w:szCs w:val="24"/>
              </w:rPr>
            </w:pPr>
            <w:r w:rsidRPr="00D740BC">
              <w:rPr>
                <w:rFonts w:ascii="Arial" w:eastAsia="Times New Roman" w:hAnsi="Arial" w:cs="Arial"/>
                <w:color w:val="000000"/>
                <w:sz w:val="24"/>
                <w:szCs w:val="24"/>
              </w:rPr>
              <w:t>14/07/2021</w:t>
            </w:r>
          </w:p>
        </w:tc>
        <w:tc>
          <w:tcPr>
            <w:tcW w:w="2434" w:type="dxa"/>
            <w:shd w:val="clear" w:color="auto" w:fill="auto"/>
            <w:noWrap/>
            <w:vAlign w:val="center"/>
            <w:hideMark/>
          </w:tcPr>
          <w:p w14:paraId="6CA4BC04" w14:textId="77777777" w:rsidR="00D740BC" w:rsidRPr="00D740BC" w:rsidRDefault="00D740BC" w:rsidP="0076652E">
            <w:pPr>
              <w:spacing w:after="0" w:line="240" w:lineRule="auto"/>
              <w:jc w:val="center"/>
              <w:rPr>
                <w:rFonts w:ascii="Arial" w:eastAsia="Times New Roman" w:hAnsi="Arial" w:cs="Arial"/>
                <w:color w:val="000000"/>
                <w:sz w:val="24"/>
                <w:szCs w:val="24"/>
              </w:rPr>
            </w:pPr>
            <w:r w:rsidRPr="00D740BC">
              <w:rPr>
                <w:rFonts w:ascii="Arial" w:eastAsia="Times New Roman" w:hAnsi="Arial" w:cs="Arial"/>
                <w:color w:val="000000"/>
                <w:sz w:val="24"/>
                <w:szCs w:val="24"/>
              </w:rPr>
              <w:t>13/07/2022</w:t>
            </w:r>
          </w:p>
        </w:tc>
      </w:tr>
    </w:tbl>
    <w:p w14:paraId="214F8E0B" w14:textId="77777777" w:rsidR="00ED240C" w:rsidRPr="009210FB" w:rsidRDefault="00ED240C" w:rsidP="00ED240C">
      <w:pPr>
        <w:rPr>
          <w:rFonts w:ascii="Arial" w:hAnsi="Arial" w:cs="Arial"/>
          <w:sz w:val="24"/>
          <w:szCs w:val="24"/>
        </w:rPr>
      </w:pPr>
    </w:p>
    <w:permEnd w:id="372125642"/>
    <w:p w14:paraId="0408FB3D" w14:textId="77777777" w:rsidR="00E360E5" w:rsidRPr="009210FB" w:rsidRDefault="00E360E5" w:rsidP="00E360E5">
      <w:pPr>
        <w:jc w:val="center"/>
        <w:rPr>
          <w:rFonts w:ascii="Arial" w:hAnsi="Arial" w:cs="Arial"/>
          <w:b/>
          <w:sz w:val="24"/>
          <w:szCs w:val="24"/>
          <w:u w:val="single"/>
        </w:rPr>
      </w:pPr>
    </w:p>
    <w:sectPr w:rsidR="00E360E5" w:rsidRPr="009210FB" w:rsidSect="001402F2">
      <w:pgSz w:w="16838" w:h="11906" w:orient="landscape"/>
      <w:pgMar w:top="1701" w:right="692" w:bottom="1701" w:left="851" w:header="284" w:footer="44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EF4B" w14:textId="77777777" w:rsidR="00905A47" w:rsidRDefault="00905A47">
      <w:pPr>
        <w:spacing w:after="0" w:line="240" w:lineRule="auto"/>
      </w:pPr>
      <w:r>
        <w:separator/>
      </w:r>
    </w:p>
  </w:endnote>
  <w:endnote w:type="continuationSeparator" w:id="0">
    <w:p w14:paraId="76827AEF" w14:textId="77777777" w:rsidR="00905A47" w:rsidRDefault="0090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87BC" w14:textId="77777777" w:rsidR="00ED0070" w:rsidRPr="00ED0070" w:rsidRDefault="00ED0070" w:rsidP="00ED0070">
    <w:pPr>
      <w:pStyle w:val="Rodap"/>
      <w:jc w:val="center"/>
      <w:rPr>
        <w:rFonts w:ascii="Arial" w:hAnsi="Arial" w:cs="Arial"/>
        <w:sz w:val="16"/>
        <w:szCs w:val="16"/>
      </w:rPr>
    </w:pPr>
    <w:r w:rsidRPr="00ED0070">
      <w:rPr>
        <w:rFonts w:ascii="Arial" w:hAnsi="Arial" w:cs="Arial"/>
        <w:sz w:val="16"/>
        <w:szCs w:val="16"/>
      </w:rPr>
      <w:t>Av. Adhemar de Barros, 230 - Santo Antônio - Guarujá/SP</w:t>
    </w:r>
    <w:r w:rsidR="00456F40" w:rsidRPr="00ED0070">
      <w:rPr>
        <w:rFonts w:ascii="Arial" w:hAnsi="Arial" w:cs="Arial"/>
        <w:sz w:val="16"/>
        <w:szCs w:val="16"/>
      </w:rPr>
      <w:t>–</w:t>
    </w:r>
    <w:r w:rsidRPr="00ED0070">
      <w:rPr>
        <w:rFonts w:ascii="Arial" w:hAnsi="Arial" w:cs="Arial"/>
        <w:sz w:val="16"/>
        <w:szCs w:val="16"/>
      </w:rPr>
      <w:t>CEP: 11430-000 – tel.</w:t>
    </w:r>
    <w:r w:rsidR="000C4138">
      <w:rPr>
        <w:rFonts w:ascii="Arial" w:hAnsi="Arial" w:cs="Arial"/>
        <w:bCs/>
        <w:noProof/>
        <w:sz w:val="24"/>
        <w:szCs w:val="24"/>
        <w:lang w:eastAsia="pt-BR"/>
      </w:rPr>
      <w:drawing>
        <wp:inline distT="0" distB="0" distL="0" distR="0" wp14:anchorId="133B9C70" wp14:editId="70ED35B9">
          <wp:extent cx="104703" cy="104703"/>
          <wp:effectExtent l="0" t="0" r="0" b="0"/>
          <wp:docPr id="4" name="Imagem 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202237" cy="202237"/>
                  </a:xfrm>
                  <a:prstGeom prst="rect">
                    <a:avLst/>
                  </a:prstGeom>
                </pic:spPr>
              </pic:pic>
            </a:graphicData>
          </a:graphic>
        </wp:inline>
      </w:drawing>
    </w:r>
    <w:r w:rsidRPr="00ED0070">
      <w:rPr>
        <w:rFonts w:ascii="Arial" w:hAnsi="Arial" w:cs="Arial"/>
        <w:sz w:val="16"/>
        <w:szCs w:val="16"/>
      </w:rPr>
      <w:t>: (13) 3343-9050</w:t>
    </w:r>
  </w:p>
  <w:p w14:paraId="378B370D" w14:textId="77777777" w:rsidR="00644972" w:rsidRPr="00ED0070" w:rsidRDefault="00905A47" w:rsidP="00ED0070">
    <w:pPr>
      <w:pStyle w:val="Rodap"/>
      <w:jc w:val="center"/>
      <w:rPr>
        <w:rFonts w:ascii="Arial" w:hAnsi="Arial" w:cs="Arial"/>
        <w:sz w:val="16"/>
        <w:szCs w:val="16"/>
      </w:rPr>
    </w:pPr>
    <w:hyperlink r:id="rId2" w:history="1">
      <w:r w:rsidR="00973DB5" w:rsidRPr="007C5375">
        <w:rPr>
          <w:rStyle w:val="Hyperlink"/>
          <w:rFonts w:ascii="Arial" w:hAnsi="Arial" w:cs="Arial"/>
          <w:sz w:val="16"/>
          <w:szCs w:val="16"/>
          <w:lang w:val="en-US"/>
        </w:rPr>
        <w:t>www.guarujaprevidencia.sp.gov.br</w:t>
      </w:r>
    </w:hyperlink>
    <w:r w:rsidR="00ED0070" w:rsidRPr="007C5375">
      <w:rPr>
        <w:rFonts w:ascii="Arial" w:hAnsi="Arial" w:cs="Arial"/>
        <w:sz w:val="16"/>
        <w:szCs w:val="16"/>
        <w:lang w:val="en-US"/>
      </w:rPr>
      <w:t xml:space="preserve">– </w:t>
    </w:r>
    <w:hyperlink r:id="rId3" w:history="1">
      <w:r w:rsidR="00973DB5" w:rsidRPr="007C5375">
        <w:rPr>
          <w:rStyle w:val="Hyperlink"/>
          <w:rFonts w:ascii="Arial" w:hAnsi="Arial" w:cs="Arial"/>
          <w:sz w:val="16"/>
          <w:szCs w:val="16"/>
          <w:lang w:val="en-US"/>
        </w:rPr>
        <w:t>contato@guarujaprevidencia.sp.gov.br</w:t>
      </w:r>
    </w:hyperlink>
    <w:r w:rsidR="00ED0070" w:rsidRPr="007C5375">
      <w:rPr>
        <w:rFonts w:ascii="Arial" w:hAnsi="Arial" w:cs="Arial"/>
        <w:sz w:val="16"/>
        <w:szCs w:val="16"/>
        <w:lang w:val="en-US"/>
      </w:rPr>
      <w:t xml:space="preserve">                   fl. </w:t>
    </w:r>
    <w:r w:rsidR="00AD43D4" w:rsidRPr="00D23CA1">
      <w:rPr>
        <w:rFonts w:ascii="Arial" w:hAnsi="Arial" w:cs="Arial"/>
        <w:b/>
        <w:bCs/>
        <w:sz w:val="16"/>
        <w:szCs w:val="16"/>
      </w:rPr>
      <w:fldChar w:fldCharType="begin"/>
    </w:r>
    <w:r w:rsidR="00D23CA1" w:rsidRPr="007C5375">
      <w:rPr>
        <w:rFonts w:ascii="Arial" w:hAnsi="Arial" w:cs="Arial"/>
        <w:b/>
        <w:bCs/>
        <w:sz w:val="16"/>
        <w:szCs w:val="16"/>
        <w:lang w:val="en-US"/>
      </w:rPr>
      <w:instrText xml:space="preserve"> PAGE  \* Arabic  \* MERGEFORMAT </w:instrText>
    </w:r>
    <w:r w:rsidR="00AD43D4" w:rsidRPr="00D23CA1">
      <w:rPr>
        <w:rFonts w:ascii="Arial" w:hAnsi="Arial" w:cs="Arial"/>
        <w:b/>
        <w:bCs/>
        <w:sz w:val="16"/>
        <w:szCs w:val="16"/>
      </w:rPr>
      <w:fldChar w:fldCharType="separate"/>
    </w:r>
    <w:r w:rsidR="003820C1" w:rsidRPr="003820C1">
      <w:rPr>
        <w:rFonts w:ascii="Arial" w:hAnsi="Arial" w:cs="Arial"/>
        <w:b/>
        <w:bCs/>
        <w:noProof/>
        <w:sz w:val="16"/>
        <w:szCs w:val="16"/>
      </w:rPr>
      <w:t>6</w:t>
    </w:r>
    <w:r w:rsidR="00AD43D4" w:rsidRPr="00D23CA1">
      <w:rPr>
        <w:rFonts w:ascii="Arial" w:hAnsi="Arial" w:cs="Arial"/>
        <w:b/>
        <w:bCs/>
        <w:sz w:val="16"/>
        <w:szCs w:val="16"/>
      </w:rPr>
      <w:fldChar w:fldCharType="end"/>
    </w:r>
    <w:r w:rsidR="00ED0070" w:rsidRPr="00ED0070">
      <w:rPr>
        <w:rFonts w:ascii="Arial" w:hAnsi="Arial" w:cs="Arial"/>
        <w:sz w:val="16"/>
        <w:szCs w:val="16"/>
      </w:rPr>
      <w:t xml:space="preserve"> de </w:t>
    </w:r>
    <w:r>
      <w:fldChar w:fldCharType="begin"/>
    </w:r>
    <w:r>
      <w:instrText xml:space="preserve"> NUMPA</w:instrText>
    </w:r>
    <w:r>
      <w:instrText xml:space="preserve">GES  \* Arabic  \* MERGEFORMAT </w:instrText>
    </w:r>
    <w:r>
      <w:fldChar w:fldCharType="separate"/>
    </w:r>
    <w:r w:rsidR="003820C1">
      <w:rPr>
        <w:rFonts w:ascii="Arial" w:hAnsi="Arial" w:cs="Arial"/>
        <w:b/>
        <w:bCs/>
        <w:noProof/>
        <w:sz w:val="16"/>
        <w:szCs w:val="16"/>
      </w:rPr>
      <w:t>9</w:t>
    </w:r>
    <w:r>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D181" w14:textId="77777777" w:rsidR="00905A47" w:rsidRDefault="00905A47">
      <w:pPr>
        <w:spacing w:after="0" w:line="240" w:lineRule="auto"/>
      </w:pPr>
      <w:r>
        <w:separator/>
      </w:r>
    </w:p>
  </w:footnote>
  <w:footnote w:type="continuationSeparator" w:id="0">
    <w:p w14:paraId="07E3BE55" w14:textId="77777777" w:rsidR="00905A47" w:rsidRDefault="0090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6123"/>
    </w:tblGrid>
    <w:tr w:rsidR="0055145F" w14:paraId="77FA340C" w14:textId="77777777" w:rsidTr="000C4138">
      <w:trPr>
        <w:trHeight w:val="977"/>
        <w:jc w:val="center"/>
      </w:trPr>
      <w:tc>
        <w:tcPr>
          <w:tcW w:w="2381" w:type="dxa"/>
          <w:vAlign w:val="bottom"/>
        </w:tcPr>
        <w:p w14:paraId="486A8166" w14:textId="77777777" w:rsidR="0055145F" w:rsidRDefault="00EF2EB7" w:rsidP="0055145F">
          <w:pPr>
            <w:pStyle w:val="Cabealho"/>
            <w:tabs>
              <w:tab w:val="center" w:pos="4252"/>
            </w:tabs>
            <w:jc w:val="center"/>
            <w:rPr>
              <w:rFonts w:ascii="Arial" w:hAnsi="Arial" w:cs="Arial"/>
              <w:b/>
              <w:bCs/>
            </w:rPr>
          </w:pPr>
          <w:r>
            <w:rPr>
              <w:rFonts w:ascii="Arial" w:hAnsi="Arial" w:cs="Arial"/>
              <w:bCs/>
              <w:noProof/>
              <w:sz w:val="24"/>
              <w:szCs w:val="24"/>
              <w:lang w:eastAsia="pt-BR"/>
            </w:rPr>
            <w:drawing>
              <wp:anchor distT="0" distB="0" distL="114300" distR="114300" simplePos="0" relativeHeight="251661312" behindDoc="0" locked="0" layoutInCell="1" allowOverlap="1" wp14:anchorId="483DD9C6" wp14:editId="07D86231">
                <wp:simplePos x="0" y="0"/>
                <wp:positionH relativeFrom="column">
                  <wp:posOffset>86360</wp:posOffset>
                </wp:positionH>
                <wp:positionV relativeFrom="paragraph">
                  <wp:posOffset>-363220</wp:posOffset>
                </wp:positionV>
                <wp:extent cx="1350010" cy="431800"/>
                <wp:effectExtent l="0" t="0" r="2540" b="6350"/>
                <wp:wrapNone/>
                <wp:docPr id="3" name="Imagem 3" descr="Interface gráfica do usuári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com confiança baixa"/>
                        <pic:cNvPicPr/>
                      </pic:nvPicPr>
                      <pic:blipFill rotWithShape="1">
                        <a:blip r:embed="rId1">
                          <a:extLst>
                            <a:ext uri="{28A0092B-C50C-407E-A947-70E740481C1C}">
                              <a14:useLocalDpi xmlns:a14="http://schemas.microsoft.com/office/drawing/2010/main" val="0"/>
                            </a:ext>
                          </a:extLst>
                        </a:blip>
                        <a:srcRect l="258" t="1772" r="258" b="-1973"/>
                        <a:stretch/>
                      </pic:blipFill>
                      <pic:spPr bwMode="auto">
                        <a:xfrm>
                          <a:off x="0" y="0"/>
                          <a:ext cx="1350010" cy="431800"/>
                        </a:xfrm>
                        <a:prstGeom prst="rect">
                          <a:avLst/>
                        </a:prstGeom>
                        <a:ln>
                          <a:noFill/>
                        </a:ln>
                        <a:extLst>
                          <a:ext uri="{53640926-AAD7-44D8-BBD7-CCE9431645EC}">
                            <a14:shadowObscured xmlns:a14="http://schemas.microsoft.com/office/drawing/2010/main"/>
                          </a:ext>
                        </a:extLst>
                      </pic:spPr>
                    </pic:pic>
                  </a:graphicData>
                </a:graphic>
              </wp:anchor>
            </w:drawing>
          </w:r>
        </w:p>
      </w:tc>
      <w:tc>
        <w:tcPr>
          <w:tcW w:w="6123" w:type="dxa"/>
          <w:vAlign w:val="bottom"/>
        </w:tcPr>
        <w:p w14:paraId="38F2F46E" w14:textId="77777777" w:rsidR="0055145F" w:rsidRPr="00A04FC8" w:rsidRDefault="0055145F" w:rsidP="0055145F">
          <w:pPr>
            <w:pStyle w:val="Cabealho"/>
            <w:tabs>
              <w:tab w:val="center" w:pos="4252"/>
            </w:tabs>
            <w:jc w:val="center"/>
            <w:rPr>
              <w:rFonts w:ascii="Arial" w:hAnsi="Arial" w:cs="Arial"/>
              <w:b/>
              <w:bCs/>
              <w:sz w:val="25"/>
              <w:szCs w:val="25"/>
            </w:rPr>
          </w:pPr>
          <w:r w:rsidRPr="00A04FC8">
            <w:rPr>
              <w:rFonts w:ascii="Arial" w:hAnsi="Arial" w:cs="Arial"/>
              <w:b/>
              <w:bCs/>
              <w:sz w:val="25"/>
              <w:szCs w:val="25"/>
            </w:rPr>
            <w:t>UNIDADE GESTORA DO RPPS DE GUARUJÁ</w:t>
          </w:r>
        </w:p>
        <w:p w14:paraId="5B97F9A6" w14:textId="77777777" w:rsidR="0055145F" w:rsidRPr="00C9575D" w:rsidRDefault="0055145F" w:rsidP="0055145F">
          <w:pPr>
            <w:pStyle w:val="Cabealho"/>
            <w:jc w:val="center"/>
            <w:rPr>
              <w:rFonts w:ascii="Arial" w:hAnsi="Arial" w:cs="Arial"/>
              <w:color w:val="333333"/>
              <w:sz w:val="17"/>
              <w:szCs w:val="17"/>
              <w:shd w:val="clear" w:color="auto" w:fill="FFFFFF"/>
            </w:rPr>
          </w:pPr>
          <w:r w:rsidRPr="00A04FC8">
            <w:rPr>
              <w:rFonts w:ascii="Arial" w:hAnsi="Arial" w:cs="Arial"/>
              <w:color w:val="333333"/>
              <w:sz w:val="18"/>
              <w:szCs w:val="18"/>
              <w:shd w:val="clear" w:color="auto" w:fill="FFFFFF"/>
            </w:rPr>
            <w:t>Autarquia Previdenciária do Regime Próprio de Previdência Social</w:t>
          </w:r>
        </w:p>
        <w:p w14:paraId="70513F67" w14:textId="77777777" w:rsidR="00025148" w:rsidRPr="000323CF" w:rsidRDefault="009E19D2" w:rsidP="0055145F">
          <w:pPr>
            <w:pStyle w:val="Cabealho"/>
            <w:jc w:val="center"/>
            <w:rPr>
              <w:rFonts w:ascii="Arial" w:hAnsi="Arial" w:cs="Arial"/>
              <w:b/>
              <w:bCs/>
              <w:sz w:val="14"/>
              <w:szCs w:val="14"/>
            </w:rPr>
          </w:pPr>
          <w:r w:rsidRPr="000323CF">
            <w:rPr>
              <w:rFonts w:ascii="Arial" w:hAnsi="Arial" w:cs="Arial"/>
              <w:b/>
              <w:bCs/>
              <w:color w:val="333333"/>
              <w:sz w:val="16"/>
              <w:szCs w:val="16"/>
              <w:shd w:val="clear" w:color="auto" w:fill="FFFFFF"/>
            </w:rPr>
            <w:t>ESTADO DE SÃO PAULO</w:t>
          </w:r>
        </w:p>
      </w:tc>
    </w:tr>
  </w:tbl>
  <w:p w14:paraId="54ABA446" w14:textId="77777777" w:rsidR="00F60F0C" w:rsidRPr="00FD502F" w:rsidRDefault="00F60F0C" w:rsidP="000C4138">
    <w:pPr>
      <w:pStyle w:val="Cabealho"/>
      <w:tabs>
        <w:tab w:val="clear" w:pos="4393"/>
        <w:tab w:val="clear" w:pos="8786"/>
        <w:tab w:val="left" w:pos="2056"/>
      </w:tabs>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017"/>
    <w:multiLevelType w:val="hybridMultilevel"/>
    <w:tmpl w:val="2D822CDC"/>
    <w:lvl w:ilvl="0" w:tplc="7D721E6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BC2655"/>
    <w:multiLevelType w:val="hybridMultilevel"/>
    <w:tmpl w:val="ED94FE44"/>
    <w:lvl w:ilvl="0" w:tplc="29A4E01C">
      <w:start w:val="1"/>
      <w:numFmt w:val="upperRoman"/>
      <w:lvlText w:val="%1."/>
      <w:lvlJc w:val="left"/>
      <w:pPr>
        <w:ind w:left="720" w:hanging="72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320F37F4"/>
    <w:multiLevelType w:val="hybridMultilevel"/>
    <w:tmpl w:val="26A87A0C"/>
    <w:lvl w:ilvl="0" w:tplc="9990D9B2">
      <w:start w:val="1"/>
      <w:numFmt w:val="lowerLetter"/>
      <w:lvlText w:val="%1)"/>
      <w:lvlJc w:val="left"/>
      <w:pPr>
        <w:ind w:left="360" w:hanging="36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3B84FD8"/>
    <w:multiLevelType w:val="hybridMultilevel"/>
    <w:tmpl w:val="D71E47FE"/>
    <w:lvl w:ilvl="0" w:tplc="4134C270">
      <w:start w:val="1"/>
      <w:numFmt w:val="upperRoman"/>
      <w:lvlText w:val="%1."/>
      <w:lvlJc w:val="left"/>
      <w:pPr>
        <w:ind w:left="720" w:hanging="72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69111A8"/>
    <w:multiLevelType w:val="hybridMultilevel"/>
    <w:tmpl w:val="37588540"/>
    <w:lvl w:ilvl="0" w:tplc="85F23084">
      <w:start w:val="1"/>
      <w:numFmt w:val="lowerLetter"/>
      <w:lvlText w:val="%1)"/>
      <w:lvlJc w:val="left"/>
      <w:pPr>
        <w:ind w:left="360" w:hanging="36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3C9F6D59"/>
    <w:multiLevelType w:val="hybridMultilevel"/>
    <w:tmpl w:val="8140D812"/>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 w15:restartNumberingAfterBreak="0">
    <w:nsid w:val="4F0B1B80"/>
    <w:multiLevelType w:val="hybridMultilevel"/>
    <w:tmpl w:val="EB14155C"/>
    <w:lvl w:ilvl="0" w:tplc="EA8A4926">
      <w:start w:val="1"/>
      <w:numFmt w:val="upperRoman"/>
      <w:lvlText w:val="%1."/>
      <w:lvlJc w:val="left"/>
      <w:pPr>
        <w:ind w:left="720" w:hanging="72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272358C"/>
    <w:multiLevelType w:val="hybridMultilevel"/>
    <w:tmpl w:val="58AC1D68"/>
    <w:lvl w:ilvl="0" w:tplc="9A38D76E">
      <w:start w:val="1"/>
      <w:numFmt w:val="upperRoman"/>
      <w:lvlText w:val="%1."/>
      <w:lvlJc w:val="left"/>
      <w:pPr>
        <w:ind w:left="720" w:hanging="720"/>
      </w:pPr>
      <w:rPr>
        <w:rFonts w:ascii="Arial" w:hAnsi="Arial" w:cs="Arial" w:hint="default"/>
        <w:b/>
        <w:bCs w:val="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3987909"/>
    <w:multiLevelType w:val="hybridMultilevel"/>
    <w:tmpl w:val="DAC6989C"/>
    <w:lvl w:ilvl="0" w:tplc="40BE292A">
      <w:start w:val="1"/>
      <w:numFmt w:val="upp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A457FB"/>
    <w:multiLevelType w:val="hybridMultilevel"/>
    <w:tmpl w:val="8E640BE4"/>
    <w:lvl w:ilvl="0" w:tplc="6DA858EA">
      <w:start w:val="1"/>
      <w:numFmt w:val="lowerLetter"/>
      <w:lvlText w:val="%1)"/>
      <w:lvlJc w:val="left"/>
      <w:pPr>
        <w:ind w:left="360" w:hanging="36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6FF313F1"/>
    <w:multiLevelType w:val="hybridMultilevel"/>
    <w:tmpl w:val="EB9A07F6"/>
    <w:lvl w:ilvl="0" w:tplc="3B4EA0B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2C00E35"/>
    <w:multiLevelType w:val="hybridMultilevel"/>
    <w:tmpl w:val="D276B120"/>
    <w:lvl w:ilvl="0" w:tplc="CAE68B5C">
      <w:start w:val="1"/>
      <w:numFmt w:val="lowerLetter"/>
      <w:lvlText w:val="%1)"/>
      <w:lvlJc w:val="left"/>
      <w:pPr>
        <w:ind w:left="360" w:hanging="360"/>
      </w:pPr>
      <w:rPr>
        <w:rFonts w:ascii="Arial" w:hAnsi="Arial" w:cs="Arial" w:hint="default"/>
        <w:b/>
        <w:bCs w:val="0"/>
        <w:sz w:val="23"/>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73567EAE"/>
    <w:multiLevelType w:val="hybridMultilevel"/>
    <w:tmpl w:val="B3F410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140372"/>
    <w:multiLevelType w:val="hybridMultilevel"/>
    <w:tmpl w:val="FC3AE43A"/>
    <w:lvl w:ilvl="0" w:tplc="3C00557A">
      <w:start w:val="1"/>
      <w:numFmt w:val="upperRoman"/>
      <w:lvlText w:val="%1."/>
      <w:lvlJc w:val="left"/>
      <w:pPr>
        <w:ind w:left="720" w:hanging="720"/>
      </w:pPr>
      <w:rPr>
        <w:rFonts w:hint="default"/>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2"/>
  </w:num>
  <w:num w:numId="5">
    <w:abstractNumId w:val="2"/>
  </w:num>
  <w:num w:numId="6">
    <w:abstractNumId w:val="9"/>
  </w:num>
  <w:num w:numId="7">
    <w:abstractNumId w:val="1"/>
  </w:num>
  <w:num w:numId="8">
    <w:abstractNumId w:val="10"/>
  </w:num>
  <w:num w:numId="9">
    <w:abstractNumId w:val="3"/>
  </w:num>
  <w:num w:numId="10">
    <w:abstractNumId w:val="11"/>
  </w:num>
  <w:num w:numId="11">
    <w:abstractNumId w:val="7"/>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6F00"/>
    <w:rsid w:val="00000A41"/>
    <w:rsid w:val="00000C19"/>
    <w:rsid w:val="00001BF4"/>
    <w:rsid w:val="000040F8"/>
    <w:rsid w:val="00004125"/>
    <w:rsid w:val="00005519"/>
    <w:rsid w:val="0000594F"/>
    <w:rsid w:val="00010E26"/>
    <w:rsid w:val="00011D06"/>
    <w:rsid w:val="000126C2"/>
    <w:rsid w:val="00013878"/>
    <w:rsid w:val="00013DBD"/>
    <w:rsid w:val="0002024D"/>
    <w:rsid w:val="00020F1C"/>
    <w:rsid w:val="000229B6"/>
    <w:rsid w:val="00024449"/>
    <w:rsid w:val="00024920"/>
    <w:rsid w:val="00025148"/>
    <w:rsid w:val="00031B59"/>
    <w:rsid w:val="000323CF"/>
    <w:rsid w:val="000336C6"/>
    <w:rsid w:val="00034DEB"/>
    <w:rsid w:val="0003569F"/>
    <w:rsid w:val="00036C37"/>
    <w:rsid w:val="000372A7"/>
    <w:rsid w:val="0004303C"/>
    <w:rsid w:val="000460B0"/>
    <w:rsid w:val="00047C10"/>
    <w:rsid w:val="00050D26"/>
    <w:rsid w:val="0005116B"/>
    <w:rsid w:val="00056B19"/>
    <w:rsid w:val="00060CEC"/>
    <w:rsid w:val="00062807"/>
    <w:rsid w:val="000659D4"/>
    <w:rsid w:val="00067ECE"/>
    <w:rsid w:val="0007315C"/>
    <w:rsid w:val="00075196"/>
    <w:rsid w:val="00081679"/>
    <w:rsid w:val="00086094"/>
    <w:rsid w:val="0008610C"/>
    <w:rsid w:val="00086CB7"/>
    <w:rsid w:val="000900DE"/>
    <w:rsid w:val="00091321"/>
    <w:rsid w:val="00091617"/>
    <w:rsid w:val="0009237A"/>
    <w:rsid w:val="000964AF"/>
    <w:rsid w:val="00096EEB"/>
    <w:rsid w:val="000A3376"/>
    <w:rsid w:val="000A3754"/>
    <w:rsid w:val="000A7016"/>
    <w:rsid w:val="000B029A"/>
    <w:rsid w:val="000B0DA5"/>
    <w:rsid w:val="000B121E"/>
    <w:rsid w:val="000B1E85"/>
    <w:rsid w:val="000B32B3"/>
    <w:rsid w:val="000B6A84"/>
    <w:rsid w:val="000B6AE3"/>
    <w:rsid w:val="000C0B71"/>
    <w:rsid w:val="000C4138"/>
    <w:rsid w:val="000C41B1"/>
    <w:rsid w:val="000C7051"/>
    <w:rsid w:val="000C7FE7"/>
    <w:rsid w:val="000D10DD"/>
    <w:rsid w:val="000D1FB2"/>
    <w:rsid w:val="000D20D5"/>
    <w:rsid w:val="000D23B8"/>
    <w:rsid w:val="000D3BE3"/>
    <w:rsid w:val="000D3CEA"/>
    <w:rsid w:val="000D44FF"/>
    <w:rsid w:val="000D7063"/>
    <w:rsid w:val="000E1ED2"/>
    <w:rsid w:val="000E37A6"/>
    <w:rsid w:val="000F0802"/>
    <w:rsid w:val="001034CB"/>
    <w:rsid w:val="00105A2E"/>
    <w:rsid w:val="00107BF3"/>
    <w:rsid w:val="001110D3"/>
    <w:rsid w:val="001119E8"/>
    <w:rsid w:val="00114CF3"/>
    <w:rsid w:val="001164DD"/>
    <w:rsid w:val="001174B6"/>
    <w:rsid w:val="00120982"/>
    <w:rsid w:val="00120F25"/>
    <w:rsid w:val="00121C2A"/>
    <w:rsid w:val="00121D10"/>
    <w:rsid w:val="00123963"/>
    <w:rsid w:val="001268BF"/>
    <w:rsid w:val="001277D9"/>
    <w:rsid w:val="00127D2D"/>
    <w:rsid w:val="00130CFF"/>
    <w:rsid w:val="001335E0"/>
    <w:rsid w:val="00133E96"/>
    <w:rsid w:val="00134A5C"/>
    <w:rsid w:val="001402F2"/>
    <w:rsid w:val="00140368"/>
    <w:rsid w:val="00140C1E"/>
    <w:rsid w:val="00141B70"/>
    <w:rsid w:val="00142080"/>
    <w:rsid w:val="00145270"/>
    <w:rsid w:val="00150653"/>
    <w:rsid w:val="0015267C"/>
    <w:rsid w:val="001531DA"/>
    <w:rsid w:val="00153CE0"/>
    <w:rsid w:val="00155754"/>
    <w:rsid w:val="001601F1"/>
    <w:rsid w:val="00161193"/>
    <w:rsid w:val="00161AAD"/>
    <w:rsid w:val="00165A10"/>
    <w:rsid w:val="00170041"/>
    <w:rsid w:val="00170F84"/>
    <w:rsid w:val="00172260"/>
    <w:rsid w:val="0017458C"/>
    <w:rsid w:val="00174C15"/>
    <w:rsid w:val="00174C91"/>
    <w:rsid w:val="00175574"/>
    <w:rsid w:val="00177A5B"/>
    <w:rsid w:val="00181EB2"/>
    <w:rsid w:val="0018232B"/>
    <w:rsid w:val="00185901"/>
    <w:rsid w:val="00192D79"/>
    <w:rsid w:val="00193997"/>
    <w:rsid w:val="001950B4"/>
    <w:rsid w:val="001967B4"/>
    <w:rsid w:val="00197048"/>
    <w:rsid w:val="0019760F"/>
    <w:rsid w:val="001A25BB"/>
    <w:rsid w:val="001A53C3"/>
    <w:rsid w:val="001A6ACF"/>
    <w:rsid w:val="001A70DF"/>
    <w:rsid w:val="001A7A3F"/>
    <w:rsid w:val="001B2ECE"/>
    <w:rsid w:val="001B43D9"/>
    <w:rsid w:val="001B4919"/>
    <w:rsid w:val="001B68B8"/>
    <w:rsid w:val="001B6A52"/>
    <w:rsid w:val="001C06D4"/>
    <w:rsid w:val="001C1708"/>
    <w:rsid w:val="001C21E2"/>
    <w:rsid w:val="001C2458"/>
    <w:rsid w:val="001C43B5"/>
    <w:rsid w:val="001C6864"/>
    <w:rsid w:val="001C68F1"/>
    <w:rsid w:val="001D0170"/>
    <w:rsid w:val="001D0B4A"/>
    <w:rsid w:val="001D0EDC"/>
    <w:rsid w:val="001D1915"/>
    <w:rsid w:val="001D254D"/>
    <w:rsid w:val="001D3F18"/>
    <w:rsid w:val="001D5D6D"/>
    <w:rsid w:val="001D6EA0"/>
    <w:rsid w:val="001E1027"/>
    <w:rsid w:val="001E3105"/>
    <w:rsid w:val="001E3A94"/>
    <w:rsid w:val="001E482F"/>
    <w:rsid w:val="001E79A2"/>
    <w:rsid w:val="001E7DA1"/>
    <w:rsid w:val="001F2FC4"/>
    <w:rsid w:val="001F450D"/>
    <w:rsid w:val="001F72AA"/>
    <w:rsid w:val="0020213F"/>
    <w:rsid w:val="00204766"/>
    <w:rsid w:val="002103CB"/>
    <w:rsid w:val="002116BA"/>
    <w:rsid w:val="00212B82"/>
    <w:rsid w:val="002146BF"/>
    <w:rsid w:val="00217732"/>
    <w:rsid w:val="00217C0F"/>
    <w:rsid w:val="00217E87"/>
    <w:rsid w:val="00217F43"/>
    <w:rsid w:val="00223556"/>
    <w:rsid w:val="00223662"/>
    <w:rsid w:val="0022433F"/>
    <w:rsid w:val="00224F99"/>
    <w:rsid w:val="00233640"/>
    <w:rsid w:val="00235E51"/>
    <w:rsid w:val="00236F88"/>
    <w:rsid w:val="00240A5A"/>
    <w:rsid w:val="00240EF3"/>
    <w:rsid w:val="00243B47"/>
    <w:rsid w:val="00244DDE"/>
    <w:rsid w:val="0024682A"/>
    <w:rsid w:val="00246A30"/>
    <w:rsid w:val="002477B4"/>
    <w:rsid w:val="002502F6"/>
    <w:rsid w:val="002512CC"/>
    <w:rsid w:val="002539E7"/>
    <w:rsid w:val="00255210"/>
    <w:rsid w:val="00255D24"/>
    <w:rsid w:val="00257C35"/>
    <w:rsid w:val="00261972"/>
    <w:rsid w:val="00262DBA"/>
    <w:rsid w:val="00263040"/>
    <w:rsid w:val="00263E57"/>
    <w:rsid w:val="00265254"/>
    <w:rsid w:val="002663DD"/>
    <w:rsid w:val="0026667F"/>
    <w:rsid w:val="002705A9"/>
    <w:rsid w:val="002711D4"/>
    <w:rsid w:val="002730D1"/>
    <w:rsid w:val="00274FBA"/>
    <w:rsid w:val="002757A5"/>
    <w:rsid w:val="002804B0"/>
    <w:rsid w:val="00286FB5"/>
    <w:rsid w:val="00287591"/>
    <w:rsid w:val="00287F02"/>
    <w:rsid w:val="00290E5A"/>
    <w:rsid w:val="00292CDE"/>
    <w:rsid w:val="00294721"/>
    <w:rsid w:val="00295DF1"/>
    <w:rsid w:val="00297019"/>
    <w:rsid w:val="00297E55"/>
    <w:rsid w:val="002A2E61"/>
    <w:rsid w:val="002A2E84"/>
    <w:rsid w:val="002B11B4"/>
    <w:rsid w:val="002B17DA"/>
    <w:rsid w:val="002B40C2"/>
    <w:rsid w:val="002C0A69"/>
    <w:rsid w:val="002C1A6B"/>
    <w:rsid w:val="002C25B6"/>
    <w:rsid w:val="002C2935"/>
    <w:rsid w:val="002C2E26"/>
    <w:rsid w:val="002D00B0"/>
    <w:rsid w:val="002D03AD"/>
    <w:rsid w:val="002D07D0"/>
    <w:rsid w:val="002D1AE8"/>
    <w:rsid w:val="002D4C13"/>
    <w:rsid w:val="002D4C89"/>
    <w:rsid w:val="002D6F7C"/>
    <w:rsid w:val="002E0781"/>
    <w:rsid w:val="002E112E"/>
    <w:rsid w:val="002E3C6A"/>
    <w:rsid w:val="002E7C96"/>
    <w:rsid w:val="002F14C8"/>
    <w:rsid w:val="002F2289"/>
    <w:rsid w:val="002F476F"/>
    <w:rsid w:val="002F59BE"/>
    <w:rsid w:val="002F608B"/>
    <w:rsid w:val="002F614B"/>
    <w:rsid w:val="002F61FC"/>
    <w:rsid w:val="00300DD4"/>
    <w:rsid w:val="00305EF4"/>
    <w:rsid w:val="003106BF"/>
    <w:rsid w:val="00311227"/>
    <w:rsid w:val="00312EAB"/>
    <w:rsid w:val="0031655E"/>
    <w:rsid w:val="00316D90"/>
    <w:rsid w:val="00332C08"/>
    <w:rsid w:val="00334E0D"/>
    <w:rsid w:val="00334F9A"/>
    <w:rsid w:val="00340258"/>
    <w:rsid w:val="0034356D"/>
    <w:rsid w:val="003465C1"/>
    <w:rsid w:val="00347B29"/>
    <w:rsid w:val="00350B69"/>
    <w:rsid w:val="00351DB2"/>
    <w:rsid w:val="00352814"/>
    <w:rsid w:val="00354387"/>
    <w:rsid w:val="0035473E"/>
    <w:rsid w:val="00354FFA"/>
    <w:rsid w:val="0035625A"/>
    <w:rsid w:val="003670E5"/>
    <w:rsid w:val="00381AB6"/>
    <w:rsid w:val="00381BE2"/>
    <w:rsid w:val="003820C1"/>
    <w:rsid w:val="00382B5A"/>
    <w:rsid w:val="00382FE7"/>
    <w:rsid w:val="003878DB"/>
    <w:rsid w:val="003905C4"/>
    <w:rsid w:val="003934E8"/>
    <w:rsid w:val="00393CEB"/>
    <w:rsid w:val="003957C6"/>
    <w:rsid w:val="003957C7"/>
    <w:rsid w:val="0039589E"/>
    <w:rsid w:val="00395A46"/>
    <w:rsid w:val="003A280D"/>
    <w:rsid w:val="003A3261"/>
    <w:rsid w:val="003A5B19"/>
    <w:rsid w:val="003A6301"/>
    <w:rsid w:val="003B153F"/>
    <w:rsid w:val="003B64E5"/>
    <w:rsid w:val="003B78F5"/>
    <w:rsid w:val="003C0646"/>
    <w:rsid w:val="003C146C"/>
    <w:rsid w:val="003C15AC"/>
    <w:rsid w:val="003C32F9"/>
    <w:rsid w:val="003C4C0B"/>
    <w:rsid w:val="003C6653"/>
    <w:rsid w:val="003C6E76"/>
    <w:rsid w:val="003C7FB0"/>
    <w:rsid w:val="003D4EFF"/>
    <w:rsid w:val="003D524B"/>
    <w:rsid w:val="003D6C01"/>
    <w:rsid w:val="003E1E2F"/>
    <w:rsid w:val="003E5D2E"/>
    <w:rsid w:val="003E7C90"/>
    <w:rsid w:val="003F272A"/>
    <w:rsid w:val="003F44BB"/>
    <w:rsid w:val="003F5E4A"/>
    <w:rsid w:val="003F5FC9"/>
    <w:rsid w:val="003F7DB4"/>
    <w:rsid w:val="00400893"/>
    <w:rsid w:val="00402E45"/>
    <w:rsid w:val="004048DF"/>
    <w:rsid w:val="00415359"/>
    <w:rsid w:val="004228E9"/>
    <w:rsid w:val="00423900"/>
    <w:rsid w:val="00423AEE"/>
    <w:rsid w:val="00423F7D"/>
    <w:rsid w:val="00424E67"/>
    <w:rsid w:val="00426FBE"/>
    <w:rsid w:val="00430979"/>
    <w:rsid w:val="00430D6B"/>
    <w:rsid w:val="00431273"/>
    <w:rsid w:val="00431590"/>
    <w:rsid w:val="00432427"/>
    <w:rsid w:val="00432B76"/>
    <w:rsid w:val="00433ED1"/>
    <w:rsid w:val="004369C9"/>
    <w:rsid w:val="00440F19"/>
    <w:rsid w:val="00441331"/>
    <w:rsid w:val="00442CB1"/>
    <w:rsid w:val="00445970"/>
    <w:rsid w:val="00445E44"/>
    <w:rsid w:val="00446E80"/>
    <w:rsid w:val="00455B70"/>
    <w:rsid w:val="0045669A"/>
    <w:rsid w:val="00456C29"/>
    <w:rsid w:val="00456F40"/>
    <w:rsid w:val="00457039"/>
    <w:rsid w:val="004570DC"/>
    <w:rsid w:val="00460861"/>
    <w:rsid w:val="00460B85"/>
    <w:rsid w:val="00461BEE"/>
    <w:rsid w:val="0046612F"/>
    <w:rsid w:val="00466B65"/>
    <w:rsid w:val="0046749D"/>
    <w:rsid w:val="00470E19"/>
    <w:rsid w:val="004722DE"/>
    <w:rsid w:val="0047390C"/>
    <w:rsid w:val="00475D18"/>
    <w:rsid w:val="00477192"/>
    <w:rsid w:val="00484123"/>
    <w:rsid w:val="004845F7"/>
    <w:rsid w:val="00484737"/>
    <w:rsid w:val="0048546E"/>
    <w:rsid w:val="00486BE3"/>
    <w:rsid w:val="00487BD0"/>
    <w:rsid w:val="0049052B"/>
    <w:rsid w:val="00492D96"/>
    <w:rsid w:val="004940A5"/>
    <w:rsid w:val="004941D8"/>
    <w:rsid w:val="00494727"/>
    <w:rsid w:val="00496A31"/>
    <w:rsid w:val="004A0167"/>
    <w:rsid w:val="004A1BF9"/>
    <w:rsid w:val="004A6A79"/>
    <w:rsid w:val="004A7D42"/>
    <w:rsid w:val="004B07CB"/>
    <w:rsid w:val="004B0AAA"/>
    <w:rsid w:val="004B4045"/>
    <w:rsid w:val="004B58ED"/>
    <w:rsid w:val="004C08D5"/>
    <w:rsid w:val="004C0D07"/>
    <w:rsid w:val="004C3588"/>
    <w:rsid w:val="004D17DA"/>
    <w:rsid w:val="004D19CC"/>
    <w:rsid w:val="004D1D01"/>
    <w:rsid w:val="004D1F38"/>
    <w:rsid w:val="004D4212"/>
    <w:rsid w:val="004E301D"/>
    <w:rsid w:val="004E44F6"/>
    <w:rsid w:val="004E45F1"/>
    <w:rsid w:val="004E6818"/>
    <w:rsid w:val="004E751B"/>
    <w:rsid w:val="004F0592"/>
    <w:rsid w:val="004F0736"/>
    <w:rsid w:val="004F1F02"/>
    <w:rsid w:val="004F30BF"/>
    <w:rsid w:val="00501B51"/>
    <w:rsid w:val="00502269"/>
    <w:rsid w:val="005028F4"/>
    <w:rsid w:val="0050313B"/>
    <w:rsid w:val="00503DF9"/>
    <w:rsid w:val="00503E46"/>
    <w:rsid w:val="00504B2D"/>
    <w:rsid w:val="00506504"/>
    <w:rsid w:val="00510F2C"/>
    <w:rsid w:val="00512223"/>
    <w:rsid w:val="00512A37"/>
    <w:rsid w:val="00513407"/>
    <w:rsid w:val="00515373"/>
    <w:rsid w:val="00515FAE"/>
    <w:rsid w:val="00520D01"/>
    <w:rsid w:val="005212B6"/>
    <w:rsid w:val="00523393"/>
    <w:rsid w:val="00523406"/>
    <w:rsid w:val="00523C73"/>
    <w:rsid w:val="00532590"/>
    <w:rsid w:val="005346BB"/>
    <w:rsid w:val="0053487A"/>
    <w:rsid w:val="00536239"/>
    <w:rsid w:val="005372DB"/>
    <w:rsid w:val="00542380"/>
    <w:rsid w:val="0054318F"/>
    <w:rsid w:val="00544A3F"/>
    <w:rsid w:val="005457BA"/>
    <w:rsid w:val="005472FC"/>
    <w:rsid w:val="00547A4F"/>
    <w:rsid w:val="005505AB"/>
    <w:rsid w:val="00550C64"/>
    <w:rsid w:val="0055145F"/>
    <w:rsid w:val="00553AFC"/>
    <w:rsid w:val="00554091"/>
    <w:rsid w:val="00554714"/>
    <w:rsid w:val="0055500A"/>
    <w:rsid w:val="00555C7E"/>
    <w:rsid w:val="0055628E"/>
    <w:rsid w:val="00557CF8"/>
    <w:rsid w:val="0056716B"/>
    <w:rsid w:val="00570DCA"/>
    <w:rsid w:val="005744D9"/>
    <w:rsid w:val="00575F8B"/>
    <w:rsid w:val="00576063"/>
    <w:rsid w:val="00576A04"/>
    <w:rsid w:val="00580EF4"/>
    <w:rsid w:val="00585A4D"/>
    <w:rsid w:val="005860A7"/>
    <w:rsid w:val="00586A25"/>
    <w:rsid w:val="00586E72"/>
    <w:rsid w:val="00591C6C"/>
    <w:rsid w:val="00593719"/>
    <w:rsid w:val="005A3A41"/>
    <w:rsid w:val="005A5077"/>
    <w:rsid w:val="005A69AB"/>
    <w:rsid w:val="005A7D64"/>
    <w:rsid w:val="005A7DF7"/>
    <w:rsid w:val="005B1A33"/>
    <w:rsid w:val="005B2294"/>
    <w:rsid w:val="005B28B0"/>
    <w:rsid w:val="005B395B"/>
    <w:rsid w:val="005B46C1"/>
    <w:rsid w:val="005B4B38"/>
    <w:rsid w:val="005B6CA9"/>
    <w:rsid w:val="005B6E50"/>
    <w:rsid w:val="005C0712"/>
    <w:rsid w:val="005C7534"/>
    <w:rsid w:val="005D190F"/>
    <w:rsid w:val="005D1F6A"/>
    <w:rsid w:val="005D2572"/>
    <w:rsid w:val="005D426C"/>
    <w:rsid w:val="005D4794"/>
    <w:rsid w:val="005D7C7E"/>
    <w:rsid w:val="005E08EC"/>
    <w:rsid w:val="005E1421"/>
    <w:rsid w:val="005E1FD7"/>
    <w:rsid w:val="005E6100"/>
    <w:rsid w:val="005E6840"/>
    <w:rsid w:val="005E7C66"/>
    <w:rsid w:val="005F273C"/>
    <w:rsid w:val="005F3511"/>
    <w:rsid w:val="00601B56"/>
    <w:rsid w:val="00604DCE"/>
    <w:rsid w:val="0061144D"/>
    <w:rsid w:val="00611CDC"/>
    <w:rsid w:val="00615BCE"/>
    <w:rsid w:val="006166C8"/>
    <w:rsid w:val="00620334"/>
    <w:rsid w:val="0062290E"/>
    <w:rsid w:val="006258AD"/>
    <w:rsid w:val="00627602"/>
    <w:rsid w:val="006311F2"/>
    <w:rsid w:val="00634AD9"/>
    <w:rsid w:val="00642E78"/>
    <w:rsid w:val="00643FFA"/>
    <w:rsid w:val="00644972"/>
    <w:rsid w:val="00644B6C"/>
    <w:rsid w:val="0064622D"/>
    <w:rsid w:val="00646C33"/>
    <w:rsid w:val="00647509"/>
    <w:rsid w:val="00651186"/>
    <w:rsid w:val="00653D5F"/>
    <w:rsid w:val="00654A4E"/>
    <w:rsid w:val="00656012"/>
    <w:rsid w:val="00660158"/>
    <w:rsid w:val="0066107C"/>
    <w:rsid w:val="0066274C"/>
    <w:rsid w:val="006676D2"/>
    <w:rsid w:val="00667BB3"/>
    <w:rsid w:val="006727B6"/>
    <w:rsid w:val="00674586"/>
    <w:rsid w:val="006755F3"/>
    <w:rsid w:val="00677DCF"/>
    <w:rsid w:val="00683998"/>
    <w:rsid w:val="00683A8B"/>
    <w:rsid w:val="00687424"/>
    <w:rsid w:val="00691256"/>
    <w:rsid w:val="00691A93"/>
    <w:rsid w:val="006927D4"/>
    <w:rsid w:val="0069638C"/>
    <w:rsid w:val="006972F0"/>
    <w:rsid w:val="00697369"/>
    <w:rsid w:val="00697FF8"/>
    <w:rsid w:val="006A30AA"/>
    <w:rsid w:val="006A3325"/>
    <w:rsid w:val="006A4474"/>
    <w:rsid w:val="006A4932"/>
    <w:rsid w:val="006A5247"/>
    <w:rsid w:val="006B32BC"/>
    <w:rsid w:val="006B5726"/>
    <w:rsid w:val="006B6DB1"/>
    <w:rsid w:val="006C1495"/>
    <w:rsid w:val="006C20A0"/>
    <w:rsid w:val="006C7DAE"/>
    <w:rsid w:val="006D3A26"/>
    <w:rsid w:val="006D580C"/>
    <w:rsid w:val="006D633C"/>
    <w:rsid w:val="006D6CFE"/>
    <w:rsid w:val="006E1EEA"/>
    <w:rsid w:val="006E476E"/>
    <w:rsid w:val="006E52B3"/>
    <w:rsid w:val="006E61F4"/>
    <w:rsid w:val="006E65FD"/>
    <w:rsid w:val="006E786C"/>
    <w:rsid w:val="006F03FF"/>
    <w:rsid w:val="006F0590"/>
    <w:rsid w:val="006F26DA"/>
    <w:rsid w:val="006F276D"/>
    <w:rsid w:val="00704670"/>
    <w:rsid w:val="00707253"/>
    <w:rsid w:val="007076E1"/>
    <w:rsid w:val="00707BC9"/>
    <w:rsid w:val="0071059A"/>
    <w:rsid w:val="00711FBC"/>
    <w:rsid w:val="00712EBF"/>
    <w:rsid w:val="0071311B"/>
    <w:rsid w:val="00714BB9"/>
    <w:rsid w:val="007154F4"/>
    <w:rsid w:val="00715EA8"/>
    <w:rsid w:val="00716F4E"/>
    <w:rsid w:val="007222DA"/>
    <w:rsid w:val="00723005"/>
    <w:rsid w:val="00733713"/>
    <w:rsid w:val="00733FE4"/>
    <w:rsid w:val="00734AB5"/>
    <w:rsid w:val="00734ADC"/>
    <w:rsid w:val="0073608A"/>
    <w:rsid w:val="0073665E"/>
    <w:rsid w:val="0074056B"/>
    <w:rsid w:val="00740797"/>
    <w:rsid w:val="00745551"/>
    <w:rsid w:val="0075287A"/>
    <w:rsid w:val="00753C4F"/>
    <w:rsid w:val="0075438C"/>
    <w:rsid w:val="00755493"/>
    <w:rsid w:val="00756832"/>
    <w:rsid w:val="00756EE3"/>
    <w:rsid w:val="00760A58"/>
    <w:rsid w:val="007621E9"/>
    <w:rsid w:val="00762BB3"/>
    <w:rsid w:val="007647EA"/>
    <w:rsid w:val="0076652E"/>
    <w:rsid w:val="00766EE1"/>
    <w:rsid w:val="00771213"/>
    <w:rsid w:val="0077370A"/>
    <w:rsid w:val="00776511"/>
    <w:rsid w:val="007769F3"/>
    <w:rsid w:val="0077712E"/>
    <w:rsid w:val="00782675"/>
    <w:rsid w:val="00787428"/>
    <w:rsid w:val="00792E91"/>
    <w:rsid w:val="00794C76"/>
    <w:rsid w:val="00795C51"/>
    <w:rsid w:val="00795F33"/>
    <w:rsid w:val="007A3164"/>
    <w:rsid w:val="007A3302"/>
    <w:rsid w:val="007A59AF"/>
    <w:rsid w:val="007A5B9F"/>
    <w:rsid w:val="007A6C15"/>
    <w:rsid w:val="007B08CE"/>
    <w:rsid w:val="007B0987"/>
    <w:rsid w:val="007B3365"/>
    <w:rsid w:val="007B4562"/>
    <w:rsid w:val="007B4DF9"/>
    <w:rsid w:val="007B7633"/>
    <w:rsid w:val="007C0454"/>
    <w:rsid w:val="007C0A0D"/>
    <w:rsid w:val="007C20B8"/>
    <w:rsid w:val="007C3204"/>
    <w:rsid w:val="007C3910"/>
    <w:rsid w:val="007C5375"/>
    <w:rsid w:val="007C6628"/>
    <w:rsid w:val="007C668F"/>
    <w:rsid w:val="007C6F4C"/>
    <w:rsid w:val="007D57C4"/>
    <w:rsid w:val="007D5DF7"/>
    <w:rsid w:val="007E084F"/>
    <w:rsid w:val="007E0CB9"/>
    <w:rsid w:val="007E0CF2"/>
    <w:rsid w:val="007E2A83"/>
    <w:rsid w:val="007E5B44"/>
    <w:rsid w:val="007E6D50"/>
    <w:rsid w:val="007E6DF1"/>
    <w:rsid w:val="007E794B"/>
    <w:rsid w:val="007F3109"/>
    <w:rsid w:val="007F3360"/>
    <w:rsid w:val="00802A89"/>
    <w:rsid w:val="00805402"/>
    <w:rsid w:val="00806A3B"/>
    <w:rsid w:val="0081089C"/>
    <w:rsid w:val="00811203"/>
    <w:rsid w:val="008155F1"/>
    <w:rsid w:val="00820D44"/>
    <w:rsid w:val="008218D9"/>
    <w:rsid w:val="008265B1"/>
    <w:rsid w:val="00826B62"/>
    <w:rsid w:val="0082726D"/>
    <w:rsid w:val="00827E1B"/>
    <w:rsid w:val="00830009"/>
    <w:rsid w:val="008334A5"/>
    <w:rsid w:val="00834504"/>
    <w:rsid w:val="00835F97"/>
    <w:rsid w:val="00837A07"/>
    <w:rsid w:val="00841388"/>
    <w:rsid w:val="0084182C"/>
    <w:rsid w:val="00843227"/>
    <w:rsid w:val="00843B0C"/>
    <w:rsid w:val="00844C5F"/>
    <w:rsid w:val="008450B7"/>
    <w:rsid w:val="008527BF"/>
    <w:rsid w:val="00857F50"/>
    <w:rsid w:val="00857F84"/>
    <w:rsid w:val="008605CC"/>
    <w:rsid w:val="00862565"/>
    <w:rsid w:val="00863D38"/>
    <w:rsid w:val="00867135"/>
    <w:rsid w:val="00871E22"/>
    <w:rsid w:val="008729C7"/>
    <w:rsid w:val="0087413A"/>
    <w:rsid w:val="00874D4C"/>
    <w:rsid w:val="008805F9"/>
    <w:rsid w:val="008813E7"/>
    <w:rsid w:val="00881719"/>
    <w:rsid w:val="00885261"/>
    <w:rsid w:val="00886251"/>
    <w:rsid w:val="00887D98"/>
    <w:rsid w:val="008902FD"/>
    <w:rsid w:val="008909C5"/>
    <w:rsid w:val="00890E5D"/>
    <w:rsid w:val="008916AC"/>
    <w:rsid w:val="00891BEA"/>
    <w:rsid w:val="00892B75"/>
    <w:rsid w:val="008930E9"/>
    <w:rsid w:val="00894669"/>
    <w:rsid w:val="00894B62"/>
    <w:rsid w:val="008979DD"/>
    <w:rsid w:val="008A4FDA"/>
    <w:rsid w:val="008A70E9"/>
    <w:rsid w:val="008A7E12"/>
    <w:rsid w:val="008B0F2E"/>
    <w:rsid w:val="008B37E3"/>
    <w:rsid w:val="008B7CE7"/>
    <w:rsid w:val="008C48AF"/>
    <w:rsid w:val="008C7AD3"/>
    <w:rsid w:val="008D227B"/>
    <w:rsid w:val="008D29F0"/>
    <w:rsid w:val="008D378A"/>
    <w:rsid w:val="008D4228"/>
    <w:rsid w:val="008D5906"/>
    <w:rsid w:val="008D59FD"/>
    <w:rsid w:val="008D6A15"/>
    <w:rsid w:val="008E015E"/>
    <w:rsid w:val="008E1665"/>
    <w:rsid w:val="008E4CB7"/>
    <w:rsid w:val="008F2F7A"/>
    <w:rsid w:val="008F619B"/>
    <w:rsid w:val="00900020"/>
    <w:rsid w:val="00902ACC"/>
    <w:rsid w:val="00903F8A"/>
    <w:rsid w:val="00904DF6"/>
    <w:rsid w:val="00905A47"/>
    <w:rsid w:val="009075E1"/>
    <w:rsid w:val="00907B5C"/>
    <w:rsid w:val="00907E2E"/>
    <w:rsid w:val="00910E2F"/>
    <w:rsid w:val="0091170B"/>
    <w:rsid w:val="00912355"/>
    <w:rsid w:val="009149E1"/>
    <w:rsid w:val="0091534D"/>
    <w:rsid w:val="00916CBF"/>
    <w:rsid w:val="00916D3A"/>
    <w:rsid w:val="00917350"/>
    <w:rsid w:val="00917A26"/>
    <w:rsid w:val="009210FB"/>
    <w:rsid w:val="0092246D"/>
    <w:rsid w:val="00922FA9"/>
    <w:rsid w:val="009232A4"/>
    <w:rsid w:val="00923D1B"/>
    <w:rsid w:val="009248AD"/>
    <w:rsid w:val="00932D32"/>
    <w:rsid w:val="00933EE8"/>
    <w:rsid w:val="0093468C"/>
    <w:rsid w:val="00937131"/>
    <w:rsid w:val="0094065D"/>
    <w:rsid w:val="00941E0D"/>
    <w:rsid w:val="009432D3"/>
    <w:rsid w:val="00944EAA"/>
    <w:rsid w:val="009460F0"/>
    <w:rsid w:val="00950C5B"/>
    <w:rsid w:val="009534C8"/>
    <w:rsid w:val="00953CBC"/>
    <w:rsid w:val="009545E0"/>
    <w:rsid w:val="00956F8F"/>
    <w:rsid w:val="00957F99"/>
    <w:rsid w:val="00960D5E"/>
    <w:rsid w:val="009618AE"/>
    <w:rsid w:val="00961FDE"/>
    <w:rsid w:val="009655E0"/>
    <w:rsid w:val="00966BD7"/>
    <w:rsid w:val="00966EC5"/>
    <w:rsid w:val="00966EFD"/>
    <w:rsid w:val="0096747B"/>
    <w:rsid w:val="00967EE3"/>
    <w:rsid w:val="00972AB9"/>
    <w:rsid w:val="00973DB5"/>
    <w:rsid w:val="00974C3C"/>
    <w:rsid w:val="00975915"/>
    <w:rsid w:val="00976356"/>
    <w:rsid w:val="00977566"/>
    <w:rsid w:val="00980784"/>
    <w:rsid w:val="00981472"/>
    <w:rsid w:val="00982866"/>
    <w:rsid w:val="00982B5B"/>
    <w:rsid w:val="00983C6B"/>
    <w:rsid w:val="00983EE2"/>
    <w:rsid w:val="009844A0"/>
    <w:rsid w:val="009853A9"/>
    <w:rsid w:val="00987891"/>
    <w:rsid w:val="00991518"/>
    <w:rsid w:val="00994CEA"/>
    <w:rsid w:val="009A0913"/>
    <w:rsid w:val="009A0A68"/>
    <w:rsid w:val="009A27AD"/>
    <w:rsid w:val="009A650F"/>
    <w:rsid w:val="009B1F4F"/>
    <w:rsid w:val="009B2346"/>
    <w:rsid w:val="009B4083"/>
    <w:rsid w:val="009C09AA"/>
    <w:rsid w:val="009C1A9E"/>
    <w:rsid w:val="009C3B71"/>
    <w:rsid w:val="009C5155"/>
    <w:rsid w:val="009D0E1E"/>
    <w:rsid w:val="009D25D8"/>
    <w:rsid w:val="009D2753"/>
    <w:rsid w:val="009D58A6"/>
    <w:rsid w:val="009D5A54"/>
    <w:rsid w:val="009E1576"/>
    <w:rsid w:val="009E19D2"/>
    <w:rsid w:val="009E7031"/>
    <w:rsid w:val="009F4C8C"/>
    <w:rsid w:val="009F781C"/>
    <w:rsid w:val="00A01FB1"/>
    <w:rsid w:val="00A0233E"/>
    <w:rsid w:val="00A03904"/>
    <w:rsid w:val="00A0448C"/>
    <w:rsid w:val="00A0468A"/>
    <w:rsid w:val="00A04FC8"/>
    <w:rsid w:val="00A1008E"/>
    <w:rsid w:val="00A1462B"/>
    <w:rsid w:val="00A14F5C"/>
    <w:rsid w:val="00A158DE"/>
    <w:rsid w:val="00A15F33"/>
    <w:rsid w:val="00A17AF3"/>
    <w:rsid w:val="00A20E31"/>
    <w:rsid w:val="00A2266B"/>
    <w:rsid w:val="00A22CC6"/>
    <w:rsid w:val="00A24638"/>
    <w:rsid w:val="00A3190D"/>
    <w:rsid w:val="00A31FE9"/>
    <w:rsid w:val="00A349FF"/>
    <w:rsid w:val="00A40BF4"/>
    <w:rsid w:val="00A4256C"/>
    <w:rsid w:val="00A427C5"/>
    <w:rsid w:val="00A44935"/>
    <w:rsid w:val="00A5042F"/>
    <w:rsid w:val="00A5268F"/>
    <w:rsid w:val="00A52818"/>
    <w:rsid w:val="00A562B7"/>
    <w:rsid w:val="00A56A78"/>
    <w:rsid w:val="00A56F97"/>
    <w:rsid w:val="00A61A3D"/>
    <w:rsid w:val="00A61B05"/>
    <w:rsid w:val="00A646E8"/>
    <w:rsid w:val="00A703A4"/>
    <w:rsid w:val="00A76F00"/>
    <w:rsid w:val="00A76FE7"/>
    <w:rsid w:val="00A775D4"/>
    <w:rsid w:val="00A80B04"/>
    <w:rsid w:val="00A81488"/>
    <w:rsid w:val="00A82C76"/>
    <w:rsid w:val="00A868F8"/>
    <w:rsid w:val="00A87365"/>
    <w:rsid w:val="00A90A81"/>
    <w:rsid w:val="00A96CEB"/>
    <w:rsid w:val="00A97EB4"/>
    <w:rsid w:val="00AA383B"/>
    <w:rsid w:val="00AA4322"/>
    <w:rsid w:val="00AA5B02"/>
    <w:rsid w:val="00AA5F48"/>
    <w:rsid w:val="00AA689D"/>
    <w:rsid w:val="00AA6D91"/>
    <w:rsid w:val="00AB02CD"/>
    <w:rsid w:val="00AB1BD4"/>
    <w:rsid w:val="00AB1C85"/>
    <w:rsid w:val="00AB1E29"/>
    <w:rsid w:val="00AB3E1A"/>
    <w:rsid w:val="00AB7169"/>
    <w:rsid w:val="00AC183A"/>
    <w:rsid w:val="00AC695F"/>
    <w:rsid w:val="00AC6D27"/>
    <w:rsid w:val="00AC7573"/>
    <w:rsid w:val="00AD43D4"/>
    <w:rsid w:val="00AD73A1"/>
    <w:rsid w:val="00AE1460"/>
    <w:rsid w:val="00AE20AD"/>
    <w:rsid w:val="00AE2D34"/>
    <w:rsid w:val="00AE5F4B"/>
    <w:rsid w:val="00AE6CBC"/>
    <w:rsid w:val="00AF14B0"/>
    <w:rsid w:val="00AF3561"/>
    <w:rsid w:val="00AF519E"/>
    <w:rsid w:val="00AF5CF5"/>
    <w:rsid w:val="00AF697F"/>
    <w:rsid w:val="00B0031E"/>
    <w:rsid w:val="00B02206"/>
    <w:rsid w:val="00B03BFA"/>
    <w:rsid w:val="00B045A4"/>
    <w:rsid w:val="00B05905"/>
    <w:rsid w:val="00B06C76"/>
    <w:rsid w:val="00B07FCF"/>
    <w:rsid w:val="00B10ED4"/>
    <w:rsid w:val="00B14035"/>
    <w:rsid w:val="00B178F7"/>
    <w:rsid w:val="00B20300"/>
    <w:rsid w:val="00B20D54"/>
    <w:rsid w:val="00B222B5"/>
    <w:rsid w:val="00B24543"/>
    <w:rsid w:val="00B24A0F"/>
    <w:rsid w:val="00B255A4"/>
    <w:rsid w:val="00B256E7"/>
    <w:rsid w:val="00B25F3E"/>
    <w:rsid w:val="00B26695"/>
    <w:rsid w:val="00B306CE"/>
    <w:rsid w:val="00B33F36"/>
    <w:rsid w:val="00B40542"/>
    <w:rsid w:val="00B40DB9"/>
    <w:rsid w:val="00B41DF1"/>
    <w:rsid w:val="00B41ED5"/>
    <w:rsid w:val="00B42C57"/>
    <w:rsid w:val="00B43380"/>
    <w:rsid w:val="00B43B45"/>
    <w:rsid w:val="00B459A2"/>
    <w:rsid w:val="00B475BF"/>
    <w:rsid w:val="00B504E1"/>
    <w:rsid w:val="00B50A95"/>
    <w:rsid w:val="00B50AFC"/>
    <w:rsid w:val="00B52115"/>
    <w:rsid w:val="00B6012B"/>
    <w:rsid w:val="00B63598"/>
    <w:rsid w:val="00B659CF"/>
    <w:rsid w:val="00B7267F"/>
    <w:rsid w:val="00B72EA5"/>
    <w:rsid w:val="00B74B99"/>
    <w:rsid w:val="00B80410"/>
    <w:rsid w:val="00B80A26"/>
    <w:rsid w:val="00B80C63"/>
    <w:rsid w:val="00B82F33"/>
    <w:rsid w:val="00B85735"/>
    <w:rsid w:val="00B9057C"/>
    <w:rsid w:val="00B9284D"/>
    <w:rsid w:val="00B92ECF"/>
    <w:rsid w:val="00B96B48"/>
    <w:rsid w:val="00BA2431"/>
    <w:rsid w:val="00BA2CBF"/>
    <w:rsid w:val="00BA4C9F"/>
    <w:rsid w:val="00BA4DBF"/>
    <w:rsid w:val="00BA75EC"/>
    <w:rsid w:val="00BB1592"/>
    <w:rsid w:val="00BB2FE5"/>
    <w:rsid w:val="00BB6395"/>
    <w:rsid w:val="00BC0D82"/>
    <w:rsid w:val="00BC10A1"/>
    <w:rsid w:val="00BC1E53"/>
    <w:rsid w:val="00BC6135"/>
    <w:rsid w:val="00BC6BB4"/>
    <w:rsid w:val="00BD0541"/>
    <w:rsid w:val="00BD1272"/>
    <w:rsid w:val="00BD1D2F"/>
    <w:rsid w:val="00BD3F11"/>
    <w:rsid w:val="00BD541D"/>
    <w:rsid w:val="00BE575B"/>
    <w:rsid w:val="00BE5E3A"/>
    <w:rsid w:val="00BE7BEA"/>
    <w:rsid w:val="00BF0B3D"/>
    <w:rsid w:val="00BF10E5"/>
    <w:rsid w:val="00BF16BF"/>
    <w:rsid w:val="00BF42C9"/>
    <w:rsid w:val="00BF46D7"/>
    <w:rsid w:val="00BF4FC7"/>
    <w:rsid w:val="00BF6AF4"/>
    <w:rsid w:val="00BF6FF1"/>
    <w:rsid w:val="00C00D2D"/>
    <w:rsid w:val="00C015CE"/>
    <w:rsid w:val="00C01E9C"/>
    <w:rsid w:val="00C05FEC"/>
    <w:rsid w:val="00C116E4"/>
    <w:rsid w:val="00C12E0C"/>
    <w:rsid w:val="00C16247"/>
    <w:rsid w:val="00C16AFA"/>
    <w:rsid w:val="00C17602"/>
    <w:rsid w:val="00C2058B"/>
    <w:rsid w:val="00C21C44"/>
    <w:rsid w:val="00C24445"/>
    <w:rsid w:val="00C25D88"/>
    <w:rsid w:val="00C26F56"/>
    <w:rsid w:val="00C3225D"/>
    <w:rsid w:val="00C35B4A"/>
    <w:rsid w:val="00C36DAE"/>
    <w:rsid w:val="00C371FF"/>
    <w:rsid w:val="00C3770C"/>
    <w:rsid w:val="00C42488"/>
    <w:rsid w:val="00C42CBC"/>
    <w:rsid w:val="00C4543F"/>
    <w:rsid w:val="00C508CA"/>
    <w:rsid w:val="00C52E76"/>
    <w:rsid w:val="00C5389F"/>
    <w:rsid w:val="00C56EE7"/>
    <w:rsid w:val="00C6040E"/>
    <w:rsid w:val="00C60EBD"/>
    <w:rsid w:val="00C632DA"/>
    <w:rsid w:val="00C66EE1"/>
    <w:rsid w:val="00C67172"/>
    <w:rsid w:val="00C67E7E"/>
    <w:rsid w:val="00C7072E"/>
    <w:rsid w:val="00C7317B"/>
    <w:rsid w:val="00C7543C"/>
    <w:rsid w:val="00C7615F"/>
    <w:rsid w:val="00C82F33"/>
    <w:rsid w:val="00C82FDB"/>
    <w:rsid w:val="00C845F2"/>
    <w:rsid w:val="00C84B47"/>
    <w:rsid w:val="00C851E7"/>
    <w:rsid w:val="00C85DD9"/>
    <w:rsid w:val="00C85F6D"/>
    <w:rsid w:val="00C90403"/>
    <w:rsid w:val="00C91AA6"/>
    <w:rsid w:val="00C92CF7"/>
    <w:rsid w:val="00C93738"/>
    <w:rsid w:val="00C9575D"/>
    <w:rsid w:val="00CA5738"/>
    <w:rsid w:val="00CB16A3"/>
    <w:rsid w:val="00CB2BD8"/>
    <w:rsid w:val="00CB6850"/>
    <w:rsid w:val="00CC0173"/>
    <w:rsid w:val="00CC13D4"/>
    <w:rsid w:val="00CC177F"/>
    <w:rsid w:val="00CC4497"/>
    <w:rsid w:val="00CC47E7"/>
    <w:rsid w:val="00CC67AE"/>
    <w:rsid w:val="00CD0BBE"/>
    <w:rsid w:val="00CD1C46"/>
    <w:rsid w:val="00CD30D7"/>
    <w:rsid w:val="00CD37D0"/>
    <w:rsid w:val="00CD385C"/>
    <w:rsid w:val="00CD7C17"/>
    <w:rsid w:val="00CE0C2E"/>
    <w:rsid w:val="00CE2A41"/>
    <w:rsid w:val="00CE5297"/>
    <w:rsid w:val="00CE66BF"/>
    <w:rsid w:val="00CE77EF"/>
    <w:rsid w:val="00CE7938"/>
    <w:rsid w:val="00CE7DC1"/>
    <w:rsid w:val="00CF0346"/>
    <w:rsid w:val="00D00AF6"/>
    <w:rsid w:val="00D00EA6"/>
    <w:rsid w:val="00D0101A"/>
    <w:rsid w:val="00D0247A"/>
    <w:rsid w:val="00D0258D"/>
    <w:rsid w:val="00D03017"/>
    <w:rsid w:val="00D1506C"/>
    <w:rsid w:val="00D17207"/>
    <w:rsid w:val="00D209CC"/>
    <w:rsid w:val="00D23CA1"/>
    <w:rsid w:val="00D24B91"/>
    <w:rsid w:val="00D25925"/>
    <w:rsid w:val="00D25E8E"/>
    <w:rsid w:val="00D279F6"/>
    <w:rsid w:val="00D3558E"/>
    <w:rsid w:val="00D42F17"/>
    <w:rsid w:val="00D44107"/>
    <w:rsid w:val="00D44596"/>
    <w:rsid w:val="00D461B0"/>
    <w:rsid w:val="00D53C52"/>
    <w:rsid w:val="00D53DDD"/>
    <w:rsid w:val="00D54999"/>
    <w:rsid w:val="00D54FA5"/>
    <w:rsid w:val="00D566BC"/>
    <w:rsid w:val="00D56F70"/>
    <w:rsid w:val="00D609D7"/>
    <w:rsid w:val="00D617BB"/>
    <w:rsid w:val="00D64D4A"/>
    <w:rsid w:val="00D666EC"/>
    <w:rsid w:val="00D71B28"/>
    <w:rsid w:val="00D72247"/>
    <w:rsid w:val="00D72FE1"/>
    <w:rsid w:val="00D73EDF"/>
    <w:rsid w:val="00D740BC"/>
    <w:rsid w:val="00D750FC"/>
    <w:rsid w:val="00D76845"/>
    <w:rsid w:val="00D76EC8"/>
    <w:rsid w:val="00D7732D"/>
    <w:rsid w:val="00D81947"/>
    <w:rsid w:val="00D82906"/>
    <w:rsid w:val="00D860EC"/>
    <w:rsid w:val="00D93215"/>
    <w:rsid w:val="00D93B59"/>
    <w:rsid w:val="00D93BED"/>
    <w:rsid w:val="00D94796"/>
    <w:rsid w:val="00D961E7"/>
    <w:rsid w:val="00D972EF"/>
    <w:rsid w:val="00DA0D1F"/>
    <w:rsid w:val="00DA167C"/>
    <w:rsid w:val="00DA2083"/>
    <w:rsid w:val="00DA42D0"/>
    <w:rsid w:val="00DB176F"/>
    <w:rsid w:val="00DB4EB0"/>
    <w:rsid w:val="00DB4F39"/>
    <w:rsid w:val="00DB659C"/>
    <w:rsid w:val="00DB7635"/>
    <w:rsid w:val="00DC2B30"/>
    <w:rsid w:val="00DC762B"/>
    <w:rsid w:val="00DC7AC4"/>
    <w:rsid w:val="00DD2F73"/>
    <w:rsid w:val="00DD44A2"/>
    <w:rsid w:val="00DD53CE"/>
    <w:rsid w:val="00DD7B02"/>
    <w:rsid w:val="00DE0D99"/>
    <w:rsid w:val="00DE2479"/>
    <w:rsid w:val="00DE680A"/>
    <w:rsid w:val="00DE6E69"/>
    <w:rsid w:val="00DE79EB"/>
    <w:rsid w:val="00DE7A85"/>
    <w:rsid w:val="00DF0B79"/>
    <w:rsid w:val="00DF14AF"/>
    <w:rsid w:val="00DF36CE"/>
    <w:rsid w:val="00DF3F3F"/>
    <w:rsid w:val="00E006F9"/>
    <w:rsid w:val="00E02DF5"/>
    <w:rsid w:val="00E0301B"/>
    <w:rsid w:val="00E030CB"/>
    <w:rsid w:val="00E034C6"/>
    <w:rsid w:val="00E10603"/>
    <w:rsid w:val="00E136A8"/>
    <w:rsid w:val="00E13816"/>
    <w:rsid w:val="00E2071E"/>
    <w:rsid w:val="00E2216A"/>
    <w:rsid w:val="00E2367B"/>
    <w:rsid w:val="00E26822"/>
    <w:rsid w:val="00E270EC"/>
    <w:rsid w:val="00E318DC"/>
    <w:rsid w:val="00E32DB6"/>
    <w:rsid w:val="00E348F4"/>
    <w:rsid w:val="00E360E5"/>
    <w:rsid w:val="00E366BC"/>
    <w:rsid w:val="00E3677C"/>
    <w:rsid w:val="00E37D03"/>
    <w:rsid w:val="00E40794"/>
    <w:rsid w:val="00E45F40"/>
    <w:rsid w:val="00E5025B"/>
    <w:rsid w:val="00E6084D"/>
    <w:rsid w:val="00E618BD"/>
    <w:rsid w:val="00E62E42"/>
    <w:rsid w:val="00E6367A"/>
    <w:rsid w:val="00E66CE4"/>
    <w:rsid w:val="00E7063D"/>
    <w:rsid w:val="00E7368E"/>
    <w:rsid w:val="00E81658"/>
    <w:rsid w:val="00E81D11"/>
    <w:rsid w:val="00E81FF3"/>
    <w:rsid w:val="00E86C3D"/>
    <w:rsid w:val="00E91BC6"/>
    <w:rsid w:val="00E9294E"/>
    <w:rsid w:val="00E94244"/>
    <w:rsid w:val="00E94797"/>
    <w:rsid w:val="00E94F5E"/>
    <w:rsid w:val="00E95246"/>
    <w:rsid w:val="00E96530"/>
    <w:rsid w:val="00E96DBE"/>
    <w:rsid w:val="00E9708A"/>
    <w:rsid w:val="00EA1C2E"/>
    <w:rsid w:val="00EA2690"/>
    <w:rsid w:val="00EA29E8"/>
    <w:rsid w:val="00EA3716"/>
    <w:rsid w:val="00EA69C0"/>
    <w:rsid w:val="00EA7CAD"/>
    <w:rsid w:val="00EA7FB1"/>
    <w:rsid w:val="00EB2513"/>
    <w:rsid w:val="00EB2DFB"/>
    <w:rsid w:val="00EB3681"/>
    <w:rsid w:val="00EB4448"/>
    <w:rsid w:val="00EB4F82"/>
    <w:rsid w:val="00EB5B0D"/>
    <w:rsid w:val="00EC1F23"/>
    <w:rsid w:val="00EC24F9"/>
    <w:rsid w:val="00EC277A"/>
    <w:rsid w:val="00EC3BCE"/>
    <w:rsid w:val="00EC3E11"/>
    <w:rsid w:val="00EC5423"/>
    <w:rsid w:val="00EC5DF1"/>
    <w:rsid w:val="00EC7239"/>
    <w:rsid w:val="00ED0070"/>
    <w:rsid w:val="00ED13CA"/>
    <w:rsid w:val="00ED240C"/>
    <w:rsid w:val="00ED551F"/>
    <w:rsid w:val="00EE193F"/>
    <w:rsid w:val="00EE648A"/>
    <w:rsid w:val="00EE65E4"/>
    <w:rsid w:val="00EF2261"/>
    <w:rsid w:val="00EF2EB7"/>
    <w:rsid w:val="00EF329F"/>
    <w:rsid w:val="00EF3D34"/>
    <w:rsid w:val="00EF5B69"/>
    <w:rsid w:val="00EF7084"/>
    <w:rsid w:val="00EF74D4"/>
    <w:rsid w:val="00F01052"/>
    <w:rsid w:val="00F05B79"/>
    <w:rsid w:val="00F0739E"/>
    <w:rsid w:val="00F07E04"/>
    <w:rsid w:val="00F10282"/>
    <w:rsid w:val="00F12B14"/>
    <w:rsid w:val="00F13EBE"/>
    <w:rsid w:val="00F15D8E"/>
    <w:rsid w:val="00F160D1"/>
    <w:rsid w:val="00F17071"/>
    <w:rsid w:val="00F1778F"/>
    <w:rsid w:val="00F26052"/>
    <w:rsid w:val="00F333A2"/>
    <w:rsid w:val="00F3722D"/>
    <w:rsid w:val="00F37A2E"/>
    <w:rsid w:val="00F41624"/>
    <w:rsid w:val="00F41E7D"/>
    <w:rsid w:val="00F425C3"/>
    <w:rsid w:val="00F441DB"/>
    <w:rsid w:val="00F453BF"/>
    <w:rsid w:val="00F5137F"/>
    <w:rsid w:val="00F543DF"/>
    <w:rsid w:val="00F54BAF"/>
    <w:rsid w:val="00F60D88"/>
    <w:rsid w:val="00F60F0C"/>
    <w:rsid w:val="00F6193B"/>
    <w:rsid w:val="00F621FB"/>
    <w:rsid w:val="00F627D1"/>
    <w:rsid w:val="00F6353A"/>
    <w:rsid w:val="00F6514B"/>
    <w:rsid w:val="00F66142"/>
    <w:rsid w:val="00F67089"/>
    <w:rsid w:val="00F675E1"/>
    <w:rsid w:val="00F679A4"/>
    <w:rsid w:val="00F67A4C"/>
    <w:rsid w:val="00F701B4"/>
    <w:rsid w:val="00F71589"/>
    <w:rsid w:val="00F8195E"/>
    <w:rsid w:val="00F83232"/>
    <w:rsid w:val="00F84847"/>
    <w:rsid w:val="00F9041E"/>
    <w:rsid w:val="00F92633"/>
    <w:rsid w:val="00F92C1C"/>
    <w:rsid w:val="00F978B0"/>
    <w:rsid w:val="00FA0DAB"/>
    <w:rsid w:val="00FA2B20"/>
    <w:rsid w:val="00FA4749"/>
    <w:rsid w:val="00FA4E53"/>
    <w:rsid w:val="00FA7BB1"/>
    <w:rsid w:val="00FB0505"/>
    <w:rsid w:val="00FB0911"/>
    <w:rsid w:val="00FB0E42"/>
    <w:rsid w:val="00FB14F3"/>
    <w:rsid w:val="00FB262E"/>
    <w:rsid w:val="00FB33BF"/>
    <w:rsid w:val="00FB4B05"/>
    <w:rsid w:val="00FB4D35"/>
    <w:rsid w:val="00FB649D"/>
    <w:rsid w:val="00FC03A8"/>
    <w:rsid w:val="00FC1042"/>
    <w:rsid w:val="00FC2890"/>
    <w:rsid w:val="00FC45A8"/>
    <w:rsid w:val="00FC4F55"/>
    <w:rsid w:val="00FC4FC7"/>
    <w:rsid w:val="00FC731F"/>
    <w:rsid w:val="00FC794B"/>
    <w:rsid w:val="00FD02AC"/>
    <w:rsid w:val="00FD502F"/>
    <w:rsid w:val="00FD5B50"/>
    <w:rsid w:val="00FD62E2"/>
    <w:rsid w:val="00FE2F3E"/>
    <w:rsid w:val="00FE7D77"/>
    <w:rsid w:val="00FF0A94"/>
    <w:rsid w:val="00FF5B5E"/>
    <w:rsid w:val="00FF74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F622"/>
  <w15:docId w15:val="{F51E24FE-7E94-4716-BC6A-B3229FA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D4"/>
  </w:style>
  <w:style w:type="paragraph" w:styleId="Ttulo5">
    <w:name w:val="heading 5"/>
    <w:basedOn w:val="Normal"/>
    <w:link w:val="Ttulo5Char"/>
    <w:uiPriority w:val="9"/>
    <w:qFormat/>
    <w:rsid w:val="002F22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D43D4"/>
    <w:pPr>
      <w:suppressAutoHyphens/>
      <w:spacing w:after="0" w:line="100" w:lineRule="atLeast"/>
      <w:textAlignment w:val="baseline"/>
    </w:pPr>
    <w:rPr>
      <w:rFonts w:ascii="Times New Roman" w:eastAsia="SimSun" w:hAnsi="Times New Roman" w:cs="Times New Roman"/>
      <w:sz w:val="20"/>
      <w:szCs w:val="20"/>
      <w:lang w:eastAsia="ar-SA"/>
    </w:rPr>
  </w:style>
  <w:style w:type="character" w:customStyle="1" w:styleId="CabealhoChar">
    <w:name w:val="Cabeçalho Char"/>
    <w:basedOn w:val="Fontepargpadro"/>
    <w:uiPriority w:val="99"/>
    <w:rsid w:val="00AD43D4"/>
    <w:rPr>
      <w:rFonts w:ascii="Times New Roman" w:eastAsia="SimSun" w:hAnsi="Times New Roman" w:cs="Times New Roman"/>
      <w:sz w:val="20"/>
      <w:szCs w:val="20"/>
      <w:lang w:eastAsia="ar-SA"/>
    </w:rPr>
  </w:style>
  <w:style w:type="character" w:customStyle="1" w:styleId="RodapChar">
    <w:name w:val="Rodapé Char"/>
    <w:basedOn w:val="Fontepargpadro"/>
    <w:uiPriority w:val="99"/>
    <w:rsid w:val="00AD43D4"/>
    <w:rPr>
      <w:rFonts w:ascii="Times New Roman" w:eastAsia="SimSun" w:hAnsi="Times New Roman" w:cs="Times New Roman"/>
      <w:sz w:val="20"/>
      <w:szCs w:val="20"/>
      <w:lang w:eastAsia="ar-SA"/>
    </w:rPr>
  </w:style>
  <w:style w:type="paragraph" w:styleId="Ttulo">
    <w:name w:val="Title"/>
    <w:basedOn w:val="Padro"/>
    <w:next w:val="Corpodetexto"/>
    <w:link w:val="TtuloChar"/>
    <w:rsid w:val="00AD43D4"/>
    <w:pPr>
      <w:keepNext/>
      <w:spacing w:before="240" w:after="120"/>
    </w:pPr>
    <w:rPr>
      <w:rFonts w:ascii="Arial" w:eastAsia="Microsoft YaHei" w:hAnsi="Arial" w:cs="Mangal"/>
      <w:sz w:val="28"/>
      <w:szCs w:val="28"/>
    </w:rPr>
  </w:style>
  <w:style w:type="paragraph" w:styleId="Corpodetexto">
    <w:name w:val="Body Text"/>
    <w:basedOn w:val="Padro"/>
    <w:rsid w:val="00AD43D4"/>
    <w:pPr>
      <w:spacing w:after="120"/>
    </w:pPr>
  </w:style>
  <w:style w:type="paragraph" w:styleId="Lista">
    <w:name w:val="List"/>
    <w:basedOn w:val="Corpodetexto"/>
    <w:rsid w:val="00AD43D4"/>
    <w:rPr>
      <w:rFonts w:cs="Mangal"/>
    </w:rPr>
  </w:style>
  <w:style w:type="paragraph" w:styleId="Legenda">
    <w:name w:val="caption"/>
    <w:basedOn w:val="Padro"/>
    <w:rsid w:val="00AD43D4"/>
    <w:pPr>
      <w:suppressLineNumbers/>
      <w:spacing w:before="120" w:after="120"/>
    </w:pPr>
    <w:rPr>
      <w:rFonts w:cs="Mangal"/>
      <w:i/>
      <w:iCs/>
      <w:sz w:val="24"/>
      <w:szCs w:val="24"/>
    </w:rPr>
  </w:style>
  <w:style w:type="paragraph" w:customStyle="1" w:styleId="ndice">
    <w:name w:val="Índice"/>
    <w:basedOn w:val="Padro"/>
    <w:rsid w:val="00AD43D4"/>
    <w:pPr>
      <w:suppressLineNumbers/>
    </w:pPr>
    <w:rPr>
      <w:rFonts w:cs="Mangal"/>
    </w:rPr>
  </w:style>
  <w:style w:type="paragraph" w:styleId="Cabealho">
    <w:name w:val="header"/>
    <w:basedOn w:val="Padro"/>
    <w:rsid w:val="00AD43D4"/>
    <w:pPr>
      <w:suppressLineNumbers/>
      <w:tabs>
        <w:tab w:val="center" w:pos="4393"/>
        <w:tab w:val="right" w:pos="8786"/>
      </w:tabs>
    </w:pPr>
  </w:style>
  <w:style w:type="paragraph" w:styleId="Rodap">
    <w:name w:val="footer"/>
    <w:basedOn w:val="Padro"/>
    <w:uiPriority w:val="99"/>
    <w:rsid w:val="00AD43D4"/>
    <w:pPr>
      <w:suppressLineNumbers/>
      <w:tabs>
        <w:tab w:val="center" w:pos="4252"/>
        <w:tab w:val="right" w:pos="8504"/>
      </w:tabs>
    </w:pPr>
  </w:style>
  <w:style w:type="paragraph" w:styleId="Textodebalo">
    <w:name w:val="Balloon Text"/>
    <w:basedOn w:val="Normal"/>
    <w:link w:val="TextodebaloChar"/>
    <w:uiPriority w:val="99"/>
    <w:semiHidden/>
    <w:unhideWhenUsed/>
    <w:rsid w:val="008345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4504"/>
    <w:rPr>
      <w:rFonts w:ascii="Segoe UI" w:hAnsi="Segoe UI" w:cs="Segoe UI"/>
      <w:sz w:val="18"/>
      <w:szCs w:val="18"/>
    </w:rPr>
  </w:style>
  <w:style w:type="paragraph" w:styleId="Textodenotadefim">
    <w:name w:val="endnote text"/>
    <w:basedOn w:val="Normal"/>
    <w:link w:val="TextodenotadefimChar"/>
    <w:uiPriority w:val="99"/>
    <w:semiHidden/>
    <w:unhideWhenUsed/>
    <w:rsid w:val="006D580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580C"/>
    <w:rPr>
      <w:sz w:val="20"/>
      <w:szCs w:val="20"/>
    </w:rPr>
  </w:style>
  <w:style w:type="character" w:styleId="Refdenotadefim">
    <w:name w:val="endnote reference"/>
    <w:basedOn w:val="Fontepargpadro"/>
    <w:uiPriority w:val="99"/>
    <w:semiHidden/>
    <w:unhideWhenUsed/>
    <w:rsid w:val="006D580C"/>
    <w:rPr>
      <w:vertAlign w:val="superscript"/>
    </w:rPr>
  </w:style>
  <w:style w:type="character" w:styleId="Hyperlink">
    <w:name w:val="Hyperlink"/>
    <w:basedOn w:val="Fontepargpadro"/>
    <w:uiPriority w:val="99"/>
    <w:unhideWhenUsed/>
    <w:rsid w:val="004F1F02"/>
    <w:rPr>
      <w:color w:val="0000FF"/>
      <w:u w:val="single"/>
    </w:rPr>
  </w:style>
  <w:style w:type="paragraph" w:styleId="Textodenotaderodap">
    <w:name w:val="footnote text"/>
    <w:basedOn w:val="Normal"/>
    <w:link w:val="TextodenotaderodapChar"/>
    <w:uiPriority w:val="99"/>
    <w:semiHidden/>
    <w:unhideWhenUsed/>
    <w:rsid w:val="00A01F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01FB1"/>
    <w:rPr>
      <w:sz w:val="20"/>
      <w:szCs w:val="20"/>
    </w:rPr>
  </w:style>
  <w:style w:type="character" w:styleId="Refdenotaderodap">
    <w:name w:val="footnote reference"/>
    <w:basedOn w:val="Fontepargpadro"/>
    <w:uiPriority w:val="99"/>
    <w:semiHidden/>
    <w:unhideWhenUsed/>
    <w:rsid w:val="00A01FB1"/>
    <w:rPr>
      <w:vertAlign w:val="superscript"/>
    </w:rPr>
  </w:style>
  <w:style w:type="character" w:customStyle="1" w:styleId="MenoPendente1">
    <w:name w:val="Menção Pendente1"/>
    <w:basedOn w:val="Fontepargpadro"/>
    <w:uiPriority w:val="99"/>
    <w:semiHidden/>
    <w:unhideWhenUsed/>
    <w:rsid w:val="0094065D"/>
    <w:rPr>
      <w:color w:val="605E5C"/>
      <w:shd w:val="clear" w:color="auto" w:fill="E1DFDD"/>
    </w:rPr>
  </w:style>
  <w:style w:type="paragraph" w:styleId="PargrafodaLista">
    <w:name w:val="List Paragraph"/>
    <w:basedOn w:val="Normal"/>
    <w:uiPriority w:val="1"/>
    <w:qFormat/>
    <w:rsid w:val="009D2753"/>
    <w:pPr>
      <w:ind w:left="720"/>
      <w:contextualSpacing/>
    </w:pPr>
  </w:style>
  <w:style w:type="table" w:styleId="Tabelacomgrade">
    <w:name w:val="Table Grid"/>
    <w:basedOn w:val="Tabelanormal"/>
    <w:uiPriority w:val="39"/>
    <w:rsid w:val="0015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B79"/>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E360E5"/>
    <w:pPr>
      <w:spacing w:after="0" w:line="240" w:lineRule="auto"/>
    </w:pPr>
  </w:style>
  <w:style w:type="character" w:customStyle="1" w:styleId="TtuloChar">
    <w:name w:val="Título Char"/>
    <w:basedOn w:val="Fontepargpadro"/>
    <w:link w:val="Ttulo"/>
    <w:rsid w:val="00ED240C"/>
    <w:rPr>
      <w:rFonts w:ascii="Arial" w:eastAsia="Microsoft YaHei" w:hAnsi="Arial" w:cs="Mangal"/>
      <w:sz w:val="28"/>
      <w:szCs w:val="28"/>
      <w:lang w:eastAsia="ar-SA"/>
    </w:rPr>
  </w:style>
  <w:style w:type="paragraph" w:customStyle="1" w:styleId="Estilopadro">
    <w:name w:val="Estilo padrão"/>
    <w:rsid w:val="00ED240C"/>
    <w:pPr>
      <w:suppressAutoHyphens/>
      <w:spacing w:line="300" w:lineRule="auto"/>
      <w:textAlignment w:val="baseline"/>
    </w:pPr>
    <w:rPr>
      <w:rFonts w:ascii="Calibri" w:eastAsia="Segoe UI" w:hAnsi="Calibri" w:cs="Tahoma"/>
      <w:color w:val="00000A"/>
      <w:sz w:val="21"/>
      <w:szCs w:val="21"/>
    </w:rPr>
  </w:style>
  <w:style w:type="character" w:customStyle="1" w:styleId="Ttulo5Char">
    <w:name w:val="Título 5 Char"/>
    <w:basedOn w:val="Fontepargpadro"/>
    <w:link w:val="Ttulo5"/>
    <w:uiPriority w:val="9"/>
    <w:rsid w:val="002F22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52">
      <w:bodyDiv w:val="1"/>
      <w:marLeft w:val="0"/>
      <w:marRight w:val="0"/>
      <w:marTop w:val="0"/>
      <w:marBottom w:val="0"/>
      <w:divBdr>
        <w:top w:val="none" w:sz="0" w:space="0" w:color="auto"/>
        <w:left w:val="none" w:sz="0" w:space="0" w:color="auto"/>
        <w:bottom w:val="none" w:sz="0" w:space="0" w:color="auto"/>
        <w:right w:val="none" w:sz="0" w:space="0" w:color="auto"/>
      </w:divBdr>
    </w:div>
    <w:div w:id="144245576">
      <w:bodyDiv w:val="1"/>
      <w:marLeft w:val="0"/>
      <w:marRight w:val="0"/>
      <w:marTop w:val="0"/>
      <w:marBottom w:val="0"/>
      <w:divBdr>
        <w:top w:val="none" w:sz="0" w:space="0" w:color="auto"/>
        <w:left w:val="none" w:sz="0" w:space="0" w:color="auto"/>
        <w:bottom w:val="none" w:sz="0" w:space="0" w:color="auto"/>
        <w:right w:val="none" w:sz="0" w:space="0" w:color="auto"/>
      </w:divBdr>
    </w:div>
    <w:div w:id="161431577">
      <w:bodyDiv w:val="1"/>
      <w:marLeft w:val="0"/>
      <w:marRight w:val="0"/>
      <w:marTop w:val="0"/>
      <w:marBottom w:val="0"/>
      <w:divBdr>
        <w:top w:val="none" w:sz="0" w:space="0" w:color="auto"/>
        <w:left w:val="none" w:sz="0" w:space="0" w:color="auto"/>
        <w:bottom w:val="none" w:sz="0" w:space="0" w:color="auto"/>
        <w:right w:val="none" w:sz="0" w:space="0" w:color="auto"/>
      </w:divBdr>
    </w:div>
    <w:div w:id="237135468">
      <w:bodyDiv w:val="1"/>
      <w:marLeft w:val="0"/>
      <w:marRight w:val="0"/>
      <w:marTop w:val="0"/>
      <w:marBottom w:val="0"/>
      <w:divBdr>
        <w:top w:val="none" w:sz="0" w:space="0" w:color="auto"/>
        <w:left w:val="none" w:sz="0" w:space="0" w:color="auto"/>
        <w:bottom w:val="none" w:sz="0" w:space="0" w:color="auto"/>
        <w:right w:val="none" w:sz="0" w:space="0" w:color="auto"/>
      </w:divBdr>
    </w:div>
    <w:div w:id="295186718">
      <w:bodyDiv w:val="1"/>
      <w:marLeft w:val="0"/>
      <w:marRight w:val="0"/>
      <w:marTop w:val="0"/>
      <w:marBottom w:val="0"/>
      <w:divBdr>
        <w:top w:val="none" w:sz="0" w:space="0" w:color="auto"/>
        <w:left w:val="none" w:sz="0" w:space="0" w:color="auto"/>
        <w:bottom w:val="none" w:sz="0" w:space="0" w:color="auto"/>
        <w:right w:val="none" w:sz="0" w:space="0" w:color="auto"/>
      </w:divBdr>
    </w:div>
    <w:div w:id="303394003">
      <w:bodyDiv w:val="1"/>
      <w:marLeft w:val="0"/>
      <w:marRight w:val="0"/>
      <w:marTop w:val="0"/>
      <w:marBottom w:val="0"/>
      <w:divBdr>
        <w:top w:val="none" w:sz="0" w:space="0" w:color="auto"/>
        <w:left w:val="none" w:sz="0" w:space="0" w:color="auto"/>
        <w:bottom w:val="none" w:sz="0" w:space="0" w:color="auto"/>
        <w:right w:val="none" w:sz="0" w:space="0" w:color="auto"/>
      </w:divBdr>
    </w:div>
    <w:div w:id="327561588">
      <w:bodyDiv w:val="1"/>
      <w:marLeft w:val="0"/>
      <w:marRight w:val="0"/>
      <w:marTop w:val="0"/>
      <w:marBottom w:val="0"/>
      <w:divBdr>
        <w:top w:val="none" w:sz="0" w:space="0" w:color="auto"/>
        <w:left w:val="none" w:sz="0" w:space="0" w:color="auto"/>
        <w:bottom w:val="none" w:sz="0" w:space="0" w:color="auto"/>
        <w:right w:val="none" w:sz="0" w:space="0" w:color="auto"/>
      </w:divBdr>
    </w:div>
    <w:div w:id="36132528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27584223">
      <w:bodyDiv w:val="1"/>
      <w:marLeft w:val="0"/>
      <w:marRight w:val="0"/>
      <w:marTop w:val="0"/>
      <w:marBottom w:val="0"/>
      <w:divBdr>
        <w:top w:val="none" w:sz="0" w:space="0" w:color="auto"/>
        <w:left w:val="none" w:sz="0" w:space="0" w:color="auto"/>
        <w:bottom w:val="none" w:sz="0" w:space="0" w:color="auto"/>
        <w:right w:val="none" w:sz="0" w:space="0" w:color="auto"/>
      </w:divBdr>
    </w:div>
    <w:div w:id="457382550">
      <w:bodyDiv w:val="1"/>
      <w:marLeft w:val="0"/>
      <w:marRight w:val="0"/>
      <w:marTop w:val="0"/>
      <w:marBottom w:val="0"/>
      <w:divBdr>
        <w:top w:val="none" w:sz="0" w:space="0" w:color="auto"/>
        <w:left w:val="none" w:sz="0" w:space="0" w:color="auto"/>
        <w:bottom w:val="none" w:sz="0" w:space="0" w:color="auto"/>
        <w:right w:val="none" w:sz="0" w:space="0" w:color="auto"/>
      </w:divBdr>
    </w:div>
    <w:div w:id="485438378">
      <w:bodyDiv w:val="1"/>
      <w:marLeft w:val="0"/>
      <w:marRight w:val="0"/>
      <w:marTop w:val="0"/>
      <w:marBottom w:val="0"/>
      <w:divBdr>
        <w:top w:val="none" w:sz="0" w:space="0" w:color="auto"/>
        <w:left w:val="none" w:sz="0" w:space="0" w:color="auto"/>
        <w:bottom w:val="none" w:sz="0" w:space="0" w:color="auto"/>
        <w:right w:val="none" w:sz="0" w:space="0" w:color="auto"/>
      </w:divBdr>
    </w:div>
    <w:div w:id="523598757">
      <w:bodyDiv w:val="1"/>
      <w:marLeft w:val="0"/>
      <w:marRight w:val="0"/>
      <w:marTop w:val="0"/>
      <w:marBottom w:val="0"/>
      <w:divBdr>
        <w:top w:val="none" w:sz="0" w:space="0" w:color="auto"/>
        <w:left w:val="none" w:sz="0" w:space="0" w:color="auto"/>
        <w:bottom w:val="none" w:sz="0" w:space="0" w:color="auto"/>
        <w:right w:val="none" w:sz="0" w:space="0" w:color="auto"/>
      </w:divBdr>
    </w:div>
    <w:div w:id="555240720">
      <w:bodyDiv w:val="1"/>
      <w:marLeft w:val="0"/>
      <w:marRight w:val="0"/>
      <w:marTop w:val="0"/>
      <w:marBottom w:val="0"/>
      <w:divBdr>
        <w:top w:val="none" w:sz="0" w:space="0" w:color="auto"/>
        <w:left w:val="none" w:sz="0" w:space="0" w:color="auto"/>
        <w:bottom w:val="none" w:sz="0" w:space="0" w:color="auto"/>
        <w:right w:val="none" w:sz="0" w:space="0" w:color="auto"/>
      </w:divBdr>
    </w:div>
    <w:div w:id="578826743">
      <w:bodyDiv w:val="1"/>
      <w:marLeft w:val="0"/>
      <w:marRight w:val="0"/>
      <w:marTop w:val="0"/>
      <w:marBottom w:val="0"/>
      <w:divBdr>
        <w:top w:val="none" w:sz="0" w:space="0" w:color="auto"/>
        <w:left w:val="none" w:sz="0" w:space="0" w:color="auto"/>
        <w:bottom w:val="none" w:sz="0" w:space="0" w:color="auto"/>
        <w:right w:val="none" w:sz="0" w:space="0" w:color="auto"/>
      </w:divBdr>
    </w:div>
    <w:div w:id="619724992">
      <w:bodyDiv w:val="1"/>
      <w:marLeft w:val="0"/>
      <w:marRight w:val="0"/>
      <w:marTop w:val="0"/>
      <w:marBottom w:val="0"/>
      <w:divBdr>
        <w:top w:val="none" w:sz="0" w:space="0" w:color="auto"/>
        <w:left w:val="none" w:sz="0" w:space="0" w:color="auto"/>
        <w:bottom w:val="none" w:sz="0" w:space="0" w:color="auto"/>
        <w:right w:val="none" w:sz="0" w:space="0" w:color="auto"/>
      </w:divBdr>
    </w:div>
    <w:div w:id="649214542">
      <w:bodyDiv w:val="1"/>
      <w:marLeft w:val="0"/>
      <w:marRight w:val="0"/>
      <w:marTop w:val="0"/>
      <w:marBottom w:val="0"/>
      <w:divBdr>
        <w:top w:val="none" w:sz="0" w:space="0" w:color="auto"/>
        <w:left w:val="none" w:sz="0" w:space="0" w:color="auto"/>
        <w:bottom w:val="none" w:sz="0" w:space="0" w:color="auto"/>
        <w:right w:val="none" w:sz="0" w:space="0" w:color="auto"/>
      </w:divBdr>
    </w:div>
    <w:div w:id="696008347">
      <w:bodyDiv w:val="1"/>
      <w:marLeft w:val="0"/>
      <w:marRight w:val="0"/>
      <w:marTop w:val="0"/>
      <w:marBottom w:val="0"/>
      <w:divBdr>
        <w:top w:val="none" w:sz="0" w:space="0" w:color="auto"/>
        <w:left w:val="none" w:sz="0" w:space="0" w:color="auto"/>
        <w:bottom w:val="none" w:sz="0" w:space="0" w:color="auto"/>
        <w:right w:val="none" w:sz="0" w:space="0" w:color="auto"/>
      </w:divBdr>
    </w:div>
    <w:div w:id="879514623">
      <w:bodyDiv w:val="1"/>
      <w:marLeft w:val="0"/>
      <w:marRight w:val="0"/>
      <w:marTop w:val="0"/>
      <w:marBottom w:val="0"/>
      <w:divBdr>
        <w:top w:val="none" w:sz="0" w:space="0" w:color="auto"/>
        <w:left w:val="none" w:sz="0" w:space="0" w:color="auto"/>
        <w:bottom w:val="none" w:sz="0" w:space="0" w:color="auto"/>
        <w:right w:val="none" w:sz="0" w:space="0" w:color="auto"/>
      </w:divBdr>
    </w:div>
    <w:div w:id="932708738">
      <w:bodyDiv w:val="1"/>
      <w:marLeft w:val="0"/>
      <w:marRight w:val="0"/>
      <w:marTop w:val="0"/>
      <w:marBottom w:val="0"/>
      <w:divBdr>
        <w:top w:val="none" w:sz="0" w:space="0" w:color="auto"/>
        <w:left w:val="none" w:sz="0" w:space="0" w:color="auto"/>
        <w:bottom w:val="none" w:sz="0" w:space="0" w:color="auto"/>
        <w:right w:val="none" w:sz="0" w:space="0" w:color="auto"/>
      </w:divBdr>
    </w:div>
    <w:div w:id="946042462">
      <w:bodyDiv w:val="1"/>
      <w:marLeft w:val="0"/>
      <w:marRight w:val="0"/>
      <w:marTop w:val="0"/>
      <w:marBottom w:val="0"/>
      <w:divBdr>
        <w:top w:val="none" w:sz="0" w:space="0" w:color="auto"/>
        <w:left w:val="none" w:sz="0" w:space="0" w:color="auto"/>
        <w:bottom w:val="none" w:sz="0" w:space="0" w:color="auto"/>
        <w:right w:val="none" w:sz="0" w:space="0" w:color="auto"/>
      </w:divBdr>
    </w:div>
    <w:div w:id="980770041">
      <w:bodyDiv w:val="1"/>
      <w:marLeft w:val="0"/>
      <w:marRight w:val="0"/>
      <w:marTop w:val="0"/>
      <w:marBottom w:val="0"/>
      <w:divBdr>
        <w:top w:val="none" w:sz="0" w:space="0" w:color="auto"/>
        <w:left w:val="none" w:sz="0" w:space="0" w:color="auto"/>
        <w:bottom w:val="none" w:sz="0" w:space="0" w:color="auto"/>
        <w:right w:val="none" w:sz="0" w:space="0" w:color="auto"/>
      </w:divBdr>
    </w:div>
    <w:div w:id="981350711">
      <w:bodyDiv w:val="1"/>
      <w:marLeft w:val="0"/>
      <w:marRight w:val="0"/>
      <w:marTop w:val="0"/>
      <w:marBottom w:val="0"/>
      <w:divBdr>
        <w:top w:val="none" w:sz="0" w:space="0" w:color="auto"/>
        <w:left w:val="none" w:sz="0" w:space="0" w:color="auto"/>
        <w:bottom w:val="none" w:sz="0" w:space="0" w:color="auto"/>
        <w:right w:val="none" w:sz="0" w:space="0" w:color="auto"/>
      </w:divBdr>
    </w:div>
    <w:div w:id="1008752866">
      <w:bodyDiv w:val="1"/>
      <w:marLeft w:val="0"/>
      <w:marRight w:val="0"/>
      <w:marTop w:val="0"/>
      <w:marBottom w:val="0"/>
      <w:divBdr>
        <w:top w:val="none" w:sz="0" w:space="0" w:color="auto"/>
        <w:left w:val="none" w:sz="0" w:space="0" w:color="auto"/>
        <w:bottom w:val="none" w:sz="0" w:space="0" w:color="auto"/>
        <w:right w:val="none" w:sz="0" w:space="0" w:color="auto"/>
      </w:divBdr>
    </w:div>
    <w:div w:id="1014845857">
      <w:bodyDiv w:val="1"/>
      <w:marLeft w:val="0"/>
      <w:marRight w:val="0"/>
      <w:marTop w:val="0"/>
      <w:marBottom w:val="0"/>
      <w:divBdr>
        <w:top w:val="none" w:sz="0" w:space="0" w:color="auto"/>
        <w:left w:val="none" w:sz="0" w:space="0" w:color="auto"/>
        <w:bottom w:val="none" w:sz="0" w:space="0" w:color="auto"/>
        <w:right w:val="none" w:sz="0" w:space="0" w:color="auto"/>
      </w:divBdr>
    </w:div>
    <w:div w:id="1084448137">
      <w:bodyDiv w:val="1"/>
      <w:marLeft w:val="0"/>
      <w:marRight w:val="0"/>
      <w:marTop w:val="0"/>
      <w:marBottom w:val="0"/>
      <w:divBdr>
        <w:top w:val="none" w:sz="0" w:space="0" w:color="auto"/>
        <w:left w:val="none" w:sz="0" w:space="0" w:color="auto"/>
        <w:bottom w:val="none" w:sz="0" w:space="0" w:color="auto"/>
        <w:right w:val="none" w:sz="0" w:space="0" w:color="auto"/>
      </w:divBdr>
    </w:div>
    <w:div w:id="1119956636">
      <w:bodyDiv w:val="1"/>
      <w:marLeft w:val="0"/>
      <w:marRight w:val="0"/>
      <w:marTop w:val="0"/>
      <w:marBottom w:val="0"/>
      <w:divBdr>
        <w:top w:val="none" w:sz="0" w:space="0" w:color="auto"/>
        <w:left w:val="none" w:sz="0" w:space="0" w:color="auto"/>
        <w:bottom w:val="none" w:sz="0" w:space="0" w:color="auto"/>
        <w:right w:val="none" w:sz="0" w:space="0" w:color="auto"/>
      </w:divBdr>
    </w:div>
    <w:div w:id="1152481385">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189107132">
      <w:bodyDiv w:val="1"/>
      <w:marLeft w:val="0"/>
      <w:marRight w:val="0"/>
      <w:marTop w:val="0"/>
      <w:marBottom w:val="0"/>
      <w:divBdr>
        <w:top w:val="none" w:sz="0" w:space="0" w:color="auto"/>
        <w:left w:val="none" w:sz="0" w:space="0" w:color="auto"/>
        <w:bottom w:val="none" w:sz="0" w:space="0" w:color="auto"/>
        <w:right w:val="none" w:sz="0" w:space="0" w:color="auto"/>
      </w:divBdr>
    </w:div>
    <w:div w:id="1337615143">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583371212">
      <w:bodyDiv w:val="1"/>
      <w:marLeft w:val="0"/>
      <w:marRight w:val="0"/>
      <w:marTop w:val="0"/>
      <w:marBottom w:val="0"/>
      <w:divBdr>
        <w:top w:val="none" w:sz="0" w:space="0" w:color="auto"/>
        <w:left w:val="none" w:sz="0" w:space="0" w:color="auto"/>
        <w:bottom w:val="none" w:sz="0" w:space="0" w:color="auto"/>
        <w:right w:val="none" w:sz="0" w:space="0" w:color="auto"/>
      </w:divBdr>
    </w:div>
    <w:div w:id="1643387589">
      <w:bodyDiv w:val="1"/>
      <w:marLeft w:val="0"/>
      <w:marRight w:val="0"/>
      <w:marTop w:val="0"/>
      <w:marBottom w:val="0"/>
      <w:divBdr>
        <w:top w:val="none" w:sz="0" w:space="0" w:color="auto"/>
        <w:left w:val="none" w:sz="0" w:space="0" w:color="auto"/>
        <w:bottom w:val="none" w:sz="0" w:space="0" w:color="auto"/>
        <w:right w:val="none" w:sz="0" w:space="0" w:color="auto"/>
      </w:divBdr>
    </w:div>
    <w:div w:id="1652366256">
      <w:bodyDiv w:val="1"/>
      <w:marLeft w:val="0"/>
      <w:marRight w:val="0"/>
      <w:marTop w:val="0"/>
      <w:marBottom w:val="0"/>
      <w:divBdr>
        <w:top w:val="none" w:sz="0" w:space="0" w:color="auto"/>
        <w:left w:val="none" w:sz="0" w:space="0" w:color="auto"/>
        <w:bottom w:val="none" w:sz="0" w:space="0" w:color="auto"/>
        <w:right w:val="none" w:sz="0" w:space="0" w:color="auto"/>
      </w:divBdr>
    </w:div>
    <w:div w:id="1783764789">
      <w:bodyDiv w:val="1"/>
      <w:marLeft w:val="0"/>
      <w:marRight w:val="0"/>
      <w:marTop w:val="0"/>
      <w:marBottom w:val="0"/>
      <w:divBdr>
        <w:top w:val="none" w:sz="0" w:space="0" w:color="auto"/>
        <w:left w:val="none" w:sz="0" w:space="0" w:color="auto"/>
        <w:bottom w:val="none" w:sz="0" w:space="0" w:color="auto"/>
        <w:right w:val="none" w:sz="0" w:space="0" w:color="auto"/>
      </w:divBdr>
    </w:div>
    <w:div w:id="1854370238">
      <w:bodyDiv w:val="1"/>
      <w:marLeft w:val="0"/>
      <w:marRight w:val="0"/>
      <w:marTop w:val="0"/>
      <w:marBottom w:val="0"/>
      <w:divBdr>
        <w:top w:val="none" w:sz="0" w:space="0" w:color="auto"/>
        <w:left w:val="none" w:sz="0" w:space="0" w:color="auto"/>
        <w:bottom w:val="none" w:sz="0" w:space="0" w:color="auto"/>
        <w:right w:val="none" w:sz="0" w:space="0" w:color="auto"/>
      </w:divBdr>
    </w:div>
    <w:div w:id="1949464168">
      <w:bodyDiv w:val="1"/>
      <w:marLeft w:val="0"/>
      <w:marRight w:val="0"/>
      <w:marTop w:val="0"/>
      <w:marBottom w:val="0"/>
      <w:divBdr>
        <w:top w:val="none" w:sz="0" w:space="0" w:color="auto"/>
        <w:left w:val="none" w:sz="0" w:space="0" w:color="auto"/>
        <w:bottom w:val="none" w:sz="0" w:space="0" w:color="auto"/>
        <w:right w:val="none" w:sz="0" w:space="0" w:color="auto"/>
      </w:divBdr>
    </w:div>
    <w:div w:id="2073691481">
      <w:bodyDiv w:val="1"/>
      <w:marLeft w:val="0"/>
      <w:marRight w:val="0"/>
      <w:marTop w:val="0"/>
      <w:marBottom w:val="0"/>
      <w:divBdr>
        <w:top w:val="none" w:sz="0" w:space="0" w:color="auto"/>
        <w:left w:val="none" w:sz="0" w:space="0" w:color="auto"/>
        <w:bottom w:val="none" w:sz="0" w:space="0" w:color="auto"/>
        <w:right w:val="none" w:sz="0" w:space="0" w:color="auto"/>
      </w:divBdr>
    </w:div>
    <w:div w:id="2099448296">
      <w:bodyDiv w:val="1"/>
      <w:marLeft w:val="0"/>
      <w:marRight w:val="0"/>
      <w:marTop w:val="0"/>
      <w:marBottom w:val="0"/>
      <w:divBdr>
        <w:top w:val="none" w:sz="0" w:space="0" w:color="auto"/>
        <w:left w:val="none" w:sz="0" w:space="0" w:color="auto"/>
        <w:bottom w:val="none" w:sz="0" w:space="0" w:color="auto"/>
        <w:right w:val="none" w:sz="0" w:space="0" w:color="auto"/>
      </w:divBdr>
    </w:div>
    <w:div w:id="2130659607">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to@guarujaprevidencia.sp.gov.br" TargetMode="External"/><Relationship Id="rId2" Type="http://schemas.openxmlformats.org/officeDocument/2006/relationships/hyperlink" Target="http://www.guarujaprevidencia.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diane\OneDrive%20-%20GUARUJA%20PREVIDENCIA\2021_Documentos\MODELO_WOR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2E05-903D-4E94-BE90-D9423259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MODELO_WORD.dotx</Template>
  <TotalTime>6</TotalTime>
  <Pages>9</Pages>
  <Words>3269</Words>
  <Characters>17653</Characters>
  <Application>Microsoft Office Word</Application>
  <DocSecurity>8</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laydiane</dc:creator>
  <cp:lastModifiedBy>laydianne rosa</cp:lastModifiedBy>
  <cp:revision>16</cp:revision>
  <cp:lastPrinted>2021-06-16T20:28:00Z</cp:lastPrinted>
  <dcterms:created xsi:type="dcterms:W3CDTF">2021-07-16T14:27:00Z</dcterms:created>
  <dcterms:modified xsi:type="dcterms:W3CDTF">2021-07-16T14:33:00Z</dcterms:modified>
</cp:coreProperties>
</file>